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61" w:rsidRDefault="00001461" w:rsidP="008B14E5"/>
    <w:p w:rsidR="00D8646C" w:rsidRPr="00001461" w:rsidRDefault="00C76137" w:rsidP="00C76137">
      <w:pPr>
        <w:pStyle w:val="Ttulo"/>
        <w:pBdr>
          <w:top w:val="single" w:sz="4" w:space="1" w:color="auto"/>
          <w:left w:val="single" w:sz="4" w:space="4" w:color="auto"/>
          <w:bottom w:val="single" w:sz="4" w:space="1" w:color="auto"/>
          <w:right w:val="single" w:sz="4" w:space="4" w:color="auto"/>
        </w:pBdr>
        <w:spacing w:after="840"/>
        <w:jc w:val="center"/>
        <w:rPr>
          <w:b/>
          <w:color w:val="auto"/>
        </w:rPr>
      </w:pPr>
      <w:r>
        <w:rPr>
          <w:b/>
          <w:color w:val="auto"/>
        </w:rPr>
        <w:t>CBM-2020</w:t>
      </w:r>
      <w:r>
        <w:rPr>
          <w:b/>
          <w:color w:val="auto"/>
        </w:rPr>
        <w:br/>
      </w:r>
      <w:r w:rsidR="00BF7E33" w:rsidRPr="00001461">
        <w:rPr>
          <w:b/>
          <w:color w:val="auto"/>
        </w:rPr>
        <w:t>Gestión territorial sostenible en el Corredor Biológico Mesoamericano</w:t>
      </w:r>
      <w:r w:rsidR="003A2277">
        <w:rPr>
          <w:b/>
          <w:color w:val="auto"/>
        </w:rPr>
        <w:br/>
      </w:r>
      <w:r w:rsidR="003A2277">
        <w:rPr>
          <w:b/>
          <w:color w:val="auto"/>
        </w:rPr>
        <w:br/>
        <w:t>Plan director</w:t>
      </w:r>
    </w:p>
    <w:p w:rsidR="00001461" w:rsidRPr="00001461" w:rsidRDefault="00001461" w:rsidP="008B14E5">
      <w:pPr>
        <w:jc w:val="center"/>
        <w:rPr>
          <w:b/>
          <w:color w:val="FF0000"/>
          <w:sz w:val="48"/>
          <w:szCs w:val="48"/>
        </w:rPr>
      </w:pPr>
      <w:r w:rsidRPr="00001461">
        <w:rPr>
          <w:b/>
          <w:color w:val="FF0000"/>
          <w:sz w:val="48"/>
          <w:szCs w:val="48"/>
        </w:rPr>
        <w:t>[</w:t>
      </w:r>
      <w:r w:rsidR="00D33907" w:rsidRPr="00001461">
        <w:rPr>
          <w:b/>
          <w:color w:val="FF0000"/>
          <w:sz w:val="48"/>
          <w:szCs w:val="48"/>
        </w:rPr>
        <w:t>Borrador</w:t>
      </w:r>
      <w:r w:rsidR="00D33907">
        <w:rPr>
          <w:b/>
          <w:color w:val="FF0000"/>
          <w:sz w:val="48"/>
          <w:szCs w:val="48"/>
        </w:rPr>
        <w:t xml:space="preserve"> para discusión</w:t>
      </w:r>
      <w:r w:rsidR="00D33907" w:rsidRPr="00001461">
        <w:rPr>
          <w:b/>
          <w:color w:val="FF0000"/>
          <w:sz w:val="48"/>
          <w:szCs w:val="48"/>
        </w:rPr>
        <w:t>]</w:t>
      </w:r>
      <w:r w:rsidR="00D33907">
        <w:rPr>
          <w:b/>
          <w:color w:val="FF0000"/>
          <w:sz w:val="48"/>
          <w:szCs w:val="48"/>
        </w:rPr>
        <w:br/>
        <w:t>Septiembre 2012</w:t>
      </w:r>
    </w:p>
    <w:p w:rsidR="00311E7C" w:rsidRPr="00001461" w:rsidRDefault="00311E7C" w:rsidP="008B14E5">
      <w:pPr>
        <w:ind w:left="227" w:hanging="227"/>
        <w:jc w:val="center"/>
        <w:rPr>
          <w:sz w:val="36"/>
          <w:szCs w:val="36"/>
        </w:rPr>
      </w:pPr>
    </w:p>
    <w:p w:rsidR="00BF509E" w:rsidRPr="00BF509E" w:rsidRDefault="00BF509E" w:rsidP="008B14E5">
      <w:pPr>
        <w:pageBreakBefore/>
      </w:pPr>
    </w:p>
    <w:p w:rsidR="000C6326" w:rsidRDefault="0067118E">
      <w:pPr>
        <w:pStyle w:val="TDC1"/>
        <w:rPr>
          <w:rFonts w:asciiTheme="minorHAnsi" w:eastAsiaTheme="minorEastAsia" w:hAnsiTheme="minorHAnsi" w:cstheme="minorBidi"/>
          <w:noProof/>
          <w:lang w:val="es-ES" w:eastAsia="es-ES"/>
        </w:rPr>
      </w:pPr>
      <w:r>
        <w:fldChar w:fldCharType="begin"/>
      </w:r>
      <w:r w:rsidR="00CB73F8">
        <w:instrText xml:space="preserve"> TOC \o "1-3" \h \z \u </w:instrText>
      </w:r>
      <w:r>
        <w:fldChar w:fldCharType="separate"/>
      </w:r>
      <w:hyperlink w:anchor="_Toc335491239" w:history="1">
        <w:r w:rsidR="000C6326" w:rsidRPr="00E15641">
          <w:rPr>
            <w:rStyle w:val="Hipervnculo"/>
            <w:noProof/>
          </w:rPr>
          <w:t>I. Antecedentes</w:t>
        </w:r>
        <w:r w:rsidR="000C6326">
          <w:rPr>
            <w:noProof/>
            <w:webHidden/>
          </w:rPr>
          <w:tab/>
        </w:r>
        <w:r>
          <w:rPr>
            <w:noProof/>
            <w:webHidden/>
          </w:rPr>
          <w:fldChar w:fldCharType="begin"/>
        </w:r>
        <w:r w:rsidR="000C6326">
          <w:rPr>
            <w:noProof/>
            <w:webHidden/>
          </w:rPr>
          <w:instrText xml:space="preserve"> PAGEREF _Toc335491239 \h </w:instrText>
        </w:r>
        <w:r>
          <w:rPr>
            <w:noProof/>
            <w:webHidden/>
          </w:rPr>
        </w:r>
        <w:r>
          <w:rPr>
            <w:noProof/>
            <w:webHidden/>
          </w:rPr>
          <w:fldChar w:fldCharType="separate"/>
        </w:r>
        <w:r w:rsidR="00657095">
          <w:rPr>
            <w:noProof/>
            <w:webHidden/>
          </w:rPr>
          <w:t>3</w:t>
        </w:r>
        <w:r>
          <w:rPr>
            <w:noProof/>
            <w:webHidden/>
          </w:rPr>
          <w:fldChar w:fldCharType="end"/>
        </w:r>
      </w:hyperlink>
    </w:p>
    <w:p w:rsidR="000C6326" w:rsidRDefault="0067118E">
      <w:pPr>
        <w:pStyle w:val="TDC1"/>
        <w:rPr>
          <w:rFonts w:asciiTheme="minorHAnsi" w:eastAsiaTheme="minorEastAsia" w:hAnsiTheme="minorHAnsi" w:cstheme="minorBidi"/>
          <w:noProof/>
          <w:lang w:val="es-ES" w:eastAsia="es-ES"/>
        </w:rPr>
      </w:pPr>
      <w:hyperlink w:anchor="_Toc335491240" w:history="1">
        <w:r w:rsidR="000C6326" w:rsidRPr="00E15641">
          <w:rPr>
            <w:rStyle w:val="Hipervnculo"/>
            <w:noProof/>
          </w:rPr>
          <w:t>II. Iniciativa</w:t>
        </w:r>
        <w:r w:rsidR="000C6326">
          <w:rPr>
            <w:noProof/>
            <w:webHidden/>
          </w:rPr>
          <w:tab/>
        </w:r>
        <w:r>
          <w:rPr>
            <w:noProof/>
            <w:webHidden/>
          </w:rPr>
          <w:fldChar w:fldCharType="begin"/>
        </w:r>
        <w:r w:rsidR="000C6326">
          <w:rPr>
            <w:noProof/>
            <w:webHidden/>
          </w:rPr>
          <w:instrText xml:space="preserve"> PAGEREF _Toc335491240 \h </w:instrText>
        </w:r>
        <w:r>
          <w:rPr>
            <w:noProof/>
            <w:webHidden/>
          </w:rPr>
        </w:r>
        <w:r>
          <w:rPr>
            <w:noProof/>
            <w:webHidden/>
          </w:rPr>
          <w:fldChar w:fldCharType="separate"/>
        </w:r>
        <w:r w:rsidR="00657095">
          <w:rPr>
            <w:noProof/>
            <w:webHidden/>
          </w:rPr>
          <w:t>3</w:t>
        </w:r>
        <w:r>
          <w:rPr>
            <w:noProof/>
            <w:webHidden/>
          </w:rPr>
          <w:fldChar w:fldCharType="end"/>
        </w:r>
      </w:hyperlink>
    </w:p>
    <w:p w:rsidR="000C6326" w:rsidRDefault="0067118E">
      <w:pPr>
        <w:pStyle w:val="TDC1"/>
        <w:rPr>
          <w:rFonts w:asciiTheme="minorHAnsi" w:eastAsiaTheme="minorEastAsia" w:hAnsiTheme="minorHAnsi" w:cstheme="minorBidi"/>
          <w:noProof/>
          <w:lang w:val="es-ES" w:eastAsia="es-ES"/>
        </w:rPr>
      </w:pPr>
      <w:hyperlink w:anchor="_Toc335491241" w:history="1">
        <w:r w:rsidR="000C6326" w:rsidRPr="00E15641">
          <w:rPr>
            <w:rStyle w:val="Hipervnculo"/>
            <w:noProof/>
          </w:rPr>
          <w:t>III. Delimitación espacial</w:t>
        </w:r>
        <w:r w:rsidR="000C6326">
          <w:rPr>
            <w:noProof/>
            <w:webHidden/>
          </w:rPr>
          <w:tab/>
        </w:r>
        <w:r>
          <w:rPr>
            <w:noProof/>
            <w:webHidden/>
          </w:rPr>
          <w:fldChar w:fldCharType="begin"/>
        </w:r>
        <w:r w:rsidR="000C6326">
          <w:rPr>
            <w:noProof/>
            <w:webHidden/>
          </w:rPr>
          <w:instrText xml:space="preserve"> PAGEREF _Toc335491241 \h </w:instrText>
        </w:r>
        <w:r>
          <w:rPr>
            <w:noProof/>
            <w:webHidden/>
          </w:rPr>
        </w:r>
        <w:r>
          <w:rPr>
            <w:noProof/>
            <w:webHidden/>
          </w:rPr>
          <w:fldChar w:fldCharType="separate"/>
        </w:r>
        <w:r w:rsidR="00657095">
          <w:rPr>
            <w:noProof/>
            <w:webHidden/>
          </w:rPr>
          <w:t>3</w:t>
        </w:r>
        <w:r>
          <w:rPr>
            <w:noProof/>
            <w:webHidden/>
          </w:rPr>
          <w:fldChar w:fldCharType="end"/>
        </w:r>
      </w:hyperlink>
    </w:p>
    <w:p w:rsidR="000C6326" w:rsidRDefault="0067118E">
      <w:pPr>
        <w:pStyle w:val="TDC1"/>
        <w:rPr>
          <w:rFonts w:asciiTheme="minorHAnsi" w:eastAsiaTheme="minorEastAsia" w:hAnsiTheme="minorHAnsi" w:cstheme="minorBidi"/>
          <w:noProof/>
          <w:lang w:val="es-ES" w:eastAsia="es-ES"/>
        </w:rPr>
      </w:pPr>
      <w:hyperlink w:anchor="_Toc335491242" w:history="1">
        <w:r w:rsidR="000C6326" w:rsidRPr="00E15641">
          <w:rPr>
            <w:rStyle w:val="Hipervnculo"/>
            <w:noProof/>
          </w:rPr>
          <w:t>IV. Plazo</w:t>
        </w:r>
        <w:r w:rsidR="000C6326">
          <w:rPr>
            <w:noProof/>
            <w:webHidden/>
          </w:rPr>
          <w:tab/>
        </w:r>
        <w:r>
          <w:rPr>
            <w:noProof/>
            <w:webHidden/>
          </w:rPr>
          <w:fldChar w:fldCharType="begin"/>
        </w:r>
        <w:r w:rsidR="000C6326">
          <w:rPr>
            <w:noProof/>
            <w:webHidden/>
          </w:rPr>
          <w:instrText xml:space="preserve"> PAGEREF _Toc335491242 \h </w:instrText>
        </w:r>
        <w:r>
          <w:rPr>
            <w:noProof/>
            <w:webHidden/>
          </w:rPr>
        </w:r>
        <w:r>
          <w:rPr>
            <w:noProof/>
            <w:webHidden/>
          </w:rPr>
          <w:fldChar w:fldCharType="separate"/>
        </w:r>
        <w:r w:rsidR="00657095">
          <w:rPr>
            <w:noProof/>
            <w:webHidden/>
          </w:rPr>
          <w:t>3</w:t>
        </w:r>
        <w:r>
          <w:rPr>
            <w:noProof/>
            <w:webHidden/>
          </w:rPr>
          <w:fldChar w:fldCharType="end"/>
        </w:r>
      </w:hyperlink>
    </w:p>
    <w:p w:rsidR="000C6326" w:rsidRDefault="0067118E">
      <w:pPr>
        <w:pStyle w:val="TDC1"/>
        <w:rPr>
          <w:rFonts w:asciiTheme="minorHAnsi" w:eastAsiaTheme="minorEastAsia" w:hAnsiTheme="minorHAnsi" w:cstheme="minorBidi"/>
          <w:noProof/>
          <w:lang w:val="es-ES" w:eastAsia="es-ES"/>
        </w:rPr>
      </w:pPr>
      <w:hyperlink w:anchor="_Toc335491243" w:history="1">
        <w:r w:rsidR="000C6326" w:rsidRPr="00E15641">
          <w:rPr>
            <w:rStyle w:val="Hipervnculo"/>
            <w:noProof/>
          </w:rPr>
          <w:t>V. Finalidad</w:t>
        </w:r>
        <w:r w:rsidR="000C6326">
          <w:rPr>
            <w:noProof/>
            <w:webHidden/>
          </w:rPr>
          <w:tab/>
        </w:r>
        <w:r>
          <w:rPr>
            <w:noProof/>
            <w:webHidden/>
          </w:rPr>
          <w:fldChar w:fldCharType="begin"/>
        </w:r>
        <w:r w:rsidR="000C6326">
          <w:rPr>
            <w:noProof/>
            <w:webHidden/>
          </w:rPr>
          <w:instrText xml:space="preserve"> PAGEREF _Toc335491243 \h </w:instrText>
        </w:r>
        <w:r>
          <w:rPr>
            <w:noProof/>
            <w:webHidden/>
          </w:rPr>
        </w:r>
        <w:r>
          <w:rPr>
            <w:noProof/>
            <w:webHidden/>
          </w:rPr>
          <w:fldChar w:fldCharType="separate"/>
        </w:r>
        <w:r w:rsidR="00657095">
          <w:rPr>
            <w:noProof/>
            <w:webHidden/>
          </w:rPr>
          <w:t>3</w:t>
        </w:r>
        <w:r>
          <w:rPr>
            <w:noProof/>
            <w:webHidden/>
          </w:rPr>
          <w:fldChar w:fldCharType="end"/>
        </w:r>
      </w:hyperlink>
    </w:p>
    <w:p w:rsidR="000C6326" w:rsidRDefault="0067118E">
      <w:pPr>
        <w:pStyle w:val="TDC1"/>
        <w:rPr>
          <w:rFonts w:asciiTheme="minorHAnsi" w:eastAsiaTheme="minorEastAsia" w:hAnsiTheme="minorHAnsi" w:cstheme="minorBidi"/>
          <w:noProof/>
          <w:lang w:val="es-ES" w:eastAsia="es-ES"/>
        </w:rPr>
      </w:pPr>
      <w:hyperlink w:anchor="_Toc335491244" w:history="1">
        <w:r w:rsidR="000C6326" w:rsidRPr="00E15641">
          <w:rPr>
            <w:rStyle w:val="Hipervnculo"/>
            <w:noProof/>
          </w:rPr>
          <w:t>VI. Objetivo</w:t>
        </w:r>
        <w:r w:rsidR="000C6326">
          <w:rPr>
            <w:noProof/>
            <w:webHidden/>
          </w:rPr>
          <w:tab/>
        </w:r>
        <w:r>
          <w:rPr>
            <w:noProof/>
            <w:webHidden/>
          </w:rPr>
          <w:fldChar w:fldCharType="begin"/>
        </w:r>
        <w:r w:rsidR="000C6326">
          <w:rPr>
            <w:noProof/>
            <w:webHidden/>
          </w:rPr>
          <w:instrText xml:space="preserve"> PAGEREF _Toc335491244 \h </w:instrText>
        </w:r>
        <w:r>
          <w:rPr>
            <w:noProof/>
            <w:webHidden/>
          </w:rPr>
        </w:r>
        <w:r>
          <w:rPr>
            <w:noProof/>
            <w:webHidden/>
          </w:rPr>
          <w:fldChar w:fldCharType="separate"/>
        </w:r>
        <w:r w:rsidR="00657095">
          <w:rPr>
            <w:noProof/>
            <w:webHidden/>
          </w:rPr>
          <w:t>4</w:t>
        </w:r>
        <w:r>
          <w:rPr>
            <w:noProof/>
            <w:webHidden/>
          </w:rPr>
          <w:fldChar w:fldCharType="end"/>
        </w:r>
      </w:hyperlink>
    </w:p>
    <w:p w:rsidR="000C6326" w:rsidRDefault="0067118E">
      <w:pPr>
        <w:pStyle w:val="TDC1"/>
        <w:rPr>
          <w:rFonts w:asciiTheme="minorHAnsi" w:eastAsiaTheme="minorEastAsia" w:hAnsiTheme="minorHAnsi" w:cstheme="minorBidi"/>
          <w:noProof/>
          <w:lang w:val="es-ES" w:eastAsia="es-ES"/>
        </w:rPr>
      </w:pPr>
      <w:hyperlink w:anchor="_Toc335491245" w:history="1">
        <w:r w:rsidR="000C6326" w:rsidRPr="00E15641">
          <w:rPr>
            <w:rStyle w:val="Hipervnculo"/>
            <w:noProof/>
          </w:rPr>
          <w:t>VII. Ejes estratégicos y líneas de acción</w:t>
        </w:r>
        <w:r w:rsidR="000C6326">
          <w:rPr>
            <w:noProof/>
            <w:webHidden/>
          </w:rPr>
          <w:tab/>
        </w:r>
        <w:r>
          <w:rPr>
            <w:noProof/>
            <w:webHidden/>
          </w:rPr>
          <w:fldChar w:fldCharType="begin"/>
        </w:r>
        <w:r w:rsidR="000C6326">
          <w:rPr>
            <w:noProof/>
            <w:webHidden/>
          </w:rPr>
          <w:instrText xml:space="preserve"> PAGEREF _Toc335491245 \h </w:instrText>
        </w:r>
        <w:r>
          <w:rPr>
            <w:noProof/>
            <w:webHidden/>
          </w:rPr>
        </w:r>
        <w:r>
          <w:rPr>
            <w:noProof/>
            <w:webHidden/>
          </w:rPr>
          <w:fldChar w:fldCharType="separate"/>
        </w:r>
        <w:r w:rsidR="00657095">
          <w:rPr>
            <w:noProof/>
            <w:webHidden/>
          </w:rPr>
          <w:t>4</w:t>
        </w:r>
        <w:r>
          <w:rPr>
            <w:noProof/>
            <w:webHidden/>
          </w:rPr>
          <w:fldChar w:fldCharType="end"/>
        </w:r>
      </w:hyperlink>
    </w:p>
    <w:p w:rsidR="000C6326" w:rsidRDefault="0067118E">
      <w:pPr>
        <w:pStyle w:val="TDC1"/>
        <w:rPr>
          <w:rFonts w:asciiTheme="minorHAnsi" w:eastAsiaTheme="minorEastAsia" w:hAnsiTheme="minorHAnsi" w:cstheme="minorBidi"/>
          <w:noProof/>
          <w:lang w:val="es-ES" w:eastAsia="es-ES"/>
        </w:rPr>
      </w:pPr>
      <w:hyperlink w:anchor="_Toc335491246" w:history="1">
        <w:r w:rsidR="000C6326" w:rsidRPr="00E15641">
          <w:rPr>
            <w:rStyle w:val="Hipervnculo"/>
            <w:noProof/>
          </w:rPr>
          <w:t>VIII. Alineación de programas y proyectos</w:t>
        </w:r>
        <w:r w:rsidR="000C6326">
          <w:rPr>
            <w:noProof/>
            <w:webHidden/>
          </w:rPr>
          <w:tab/>
        </w:r>
        <w:r>
          <w:rPr>
            <w:noProof/>
            <w:webHidden/>
          </w:rPr>
          <w:fldChar w:fldCharType="begin"/>
        </w:r>
        <w:r w:rsidR="000C6326">
          <w:rPr>
            <w:noProof/>
            <w:webHidden/>
          </w:rPr>
          <w:instrText xml:space="preserve"> PAGEREF _Toc335491246 \h </w:instrText>
        </w:r>
        <w:r>
          <w:rPr>
            <w:noProof/>
            <w:webHidden/>
          </w:rPr>
        </w:r>
        <w:r>
          <w:rPr>
            <w:noProof/>
            <w:webHidden/>
          </w:rPr>
          <w:fldChar w:fldCharType="separate"/>
        </w:r>
        <w:r w:rsidR="00657095">
          <w:rPr>
            <w:noProof/>
            <w:webHidden/>
          </w:rPr>
          <w:t>4</w:t>
        </w:r>
        <w:r>
          <w:rPr>
            <w:noProof/>
            <w:webHidden/>
          </w:rPr>
          <w:fldChar w:fldCharType="end"/>
        </w:r>
      </w:hyperlink>
    </w:p>
    <w:p w:rsidR="000C6326" w:rsidRDefault="0067118E">
      <w:pPr>
        <w:pStyle w:val="TDC1"/>
        <w:rPr>
          <w:rFonts w:asciiTheme="minorHAnsi" w:eastAsiaTheme="minorEastAsia" w:hAnsiTheme="minorHAnsi" w:cstheme="minorBidi"/>
          <w:noProof/>
          <w:lang w:val="es-ES" w:eastAsia="es-ES"/>
        </w:rPr>
      </w:pPr>
      <w:hyperlink w:anchor="_Toc335491247" w:history="1">
        <w:r w:rsidR="000C6326" w:rsidRPr="00E15641">
          <w:rPr>
            <w:rStyle w:val="Hipervnculo"/>
            <w:noProof/>
          </w:rPr>
          <w:t>IX. Enfoque territorial</w:t>
        </w:r>
        <w:r w:rsidR="000C6326">
          <w:rPr>
            <w:noProof/>
            <w:webHidden/>
          </w:rPr>
          <w:tab/>
        </w:r>
        <w:r>
          <w:rPr>
            <w:noProof/>
            <w:webHidden/>
          </w:rPr>
          <w:fldChar w:fldCharType="begin"/>
        </w:r>
        <w:r w:rsidR="000C6326">
          <w:rPr>
            <w:noProof/>
            <w:webHidden/>
          </w:rPr>
          <w:instrText xml:space="preserve"> PAGEREF _Toc335491247 \h </w:instrText>
        </w:r>
        <w:r>
          <w:rPr>
            <w:noProof/>
            <w:webHidden/>
          </w:rPr>
        </w:r>
        <w:r>
          <w:rPr>
            <w:noProof/>
            <w:webHidden/>
          </w:rPr>
          <w:fldChar w:fldCharType="separate"/>
        </w:r>
        <w:r w:rsidR="00657095">
          <w:rPr>
            <w:noProof/>
            <w:webHidden/>
          </w:rPr>
          <w:t>6</w:t>
        </w:r>
        <w:r>
          <w:rPr>
            <w:noProof/>
            <w:webHidden/>
          </w:rPr>
          <w:fldChar w:fldCharType="end"/>
        </w:r>
      </w:hyperlink>
    </w:p>
    <w:p w:rsidR="000C6326" w:rsidRDefault="0067118E">
      <w:pPr>
        <w:pStyle w:val="TDC2"/>
        <w:rPr>
          <w:rFonts w:asciiTheme="minorHAnsi" w:eastAsiaTheme="minorEastAsia" w:hAnsiTheme="minorHAnsi" w:cstheme="minorBidi"/>
          <w:noProof/>
          <w:lang w:val="es-ES" w:eastAsia="es-ES"/>
        </w:rPr>
      </w:pPr>
      <w:hyperlink w:anchor="_Toc335491248" w:history="1">
        <w:r w:rsidR="000C6326" w:rsidRPr="00E15641">
          <w:rPr>
            <w:rStyle w:val="Hipervnculo"/>
            <w:noProof/>
          </w:rPr>
          <w:t>Conceptos</w:t>
        </w:r>
        <w:r w:rsidR="000C6326">
          <w:rPr>
            <w:noProof/>
            <w:webHidden/>
          </w:rPr>
          <w:tab/>
        </w:r>
        <w:r>
          <w:rPr>
            <w:noProof/>
            <w:webHidden/>
          </w:rPr>
          <w:fldChar w:fldCharType="begin"/>
        </w:r>
        <w:r w:rsidR="000C6326">
          <w:rPr>
            <w:noProof/>
            <w:webHidden/>
          </w:rPr>
          <w:instrText xml:space="preserve"> PAGEREF _Toc335491248 \h </w:instrText>
        </w:r>
        <w:r>
          <w:rPr>
            <w:noProof/>
            <w:webHidden/>
          </w:rPr>
        </w:r>
        <w:r>
          <w:rPr>
            <w:noProof/>
            <w:webHidden/>
          </w:rPr>
          <w:fldChar w:fldCharType="separate"/>
        </w:r>
        <w:r w:rsidR="00657095">
          <w:rPr>
            <w:noProof/>
            <w:webHidden/>
          </w:rPr>
          <w:t>6</w:t>
        </w:r>
        <w:r>
          <w:rPr>
            <w:noProof/>
            <w:webHidden/>
          </w:rPr>
          <w:fldChar w:fldCharType="end"/>
        </w:r>
      </w:hyperlink>
    </w:p>
    <w:p w:rsidR="000C6326" w:rsidRDefault="0067118E">
      <w:pPr>
        <w:pStyle w:val="TDC2"/>
        <w:rPr>
          <w:rFonts w:asciiTheme="minorHAnsi" w:eastAsiaTheme="minorEastAsia" w:hAnsiTheme="minorHAnsi" w:cstheme="minorBidi"/>
          <w:noProof/>
          <w:lang w:val="es-ES" w:eastAsia="es-ES"/>
        </w:rPr>
      </w:pPr>
      <w:hyperlink w:anchor="_Toc335491249" w:history="1">
        <w:r w:rsidR="000C6326" w:rsidRPr="00E15641">
          <w:rPr>
            <w:rStyle w:val="Hipervnculo"/>
            <w:noProof/>
          </w:rPr>
          <w:t>Postulados y consideraciones</w:t>
        </w:r>
        <w:r w:rsidR="000C6326">
          <w:rPr>
            <w:noProof/>
            <w:webHidden/>
          </w:rPr>
          <w:tab/>
        </w:r>
        <w:r>
          <w:rPr>
            <w:noProof/>
            <w:webHidden/>
          </w:rPr>
          <w:fldChar w:fldCharType="begin"/>
        </w:r>
        <w:r w:rsidR="000C6326">
          <w:rPr>
            <w:noProof/>
            <w:webHidden/>
          </w:rPr>
          <w:instrText xml:space="preserve"> PAGEREF _Toc335491249 \h </w:instrText>
        </w:r>
        <w:r>
          <w:rPr>
            <w:noProof/>
            <w:webHidden/>
          </w:rPr>
        </w:r>
        <w:r>
          <w:rPr>
            <w:noProof/>
            <w:webHidden/>
          </w:rPr>
          <w:fldChar w:fldCharType="separate"/>
        </w:r>
        <w:r w:rsidR="00657095">
          <w:rPr>
            <w:noProof/>
            <w:webHidden/>
          </w:rPr>
          <w:t>7</w:t>
        </w:r>
        <w:r>
          <w:rPr>
            <w:noProof/>
            <w:webHidden/>
          </w:rPr>
          <w:fldChar w:fldCharType="end"/>
        </w:r>
      </w:hyperlink>
    </w:p>
    <w:p w:rsidR="000C6326" w:rsidRDefault="0067118E">
      <w:pPr>
        <w:pStyle w:val="TDC1"/>
        <w:rPr>
          <w:rFonts w:asciiTheme="minorHAnsi" w:eastAsiaTheme="minorEastAsia" w:hAnsiTheme="minorHAnsi" w:cstheme="minorBidi"/>
          <w:noProof/>
          <w:lang w:val="es-ES" w:eastAsia="es-ES"/>
        </w:rPr>
      </w:pPr>
      <w:hyperlink w:anchor="_Toc335491250" w:history="1">
        <w:r w:rsidR="000C6326" w:rsidRPr="00E15641">
          <w:rPr>
            <w:rStyle w:val="Hipervnculo"/>
            <w:noProof/>
          </w:rPr>
          <w:t>X. Enfoque transectorial y multiactores</w:t>
        </w:r>
        <w:r w:rsidR="000C6326">
          <w:rPr>
            <w:noProof/>
            <w:webHidden/>
          </w:rPr>
          <w:tab/>
        </w:r>
        <w:r>
          <w:rPr>
            <w:noProof/>
            <w:webHidden/>
          </w:rPr>
          <w:fldChar w:fldCharType="begin"/>
        </w:r>
        <w:r w:rsidR="000C6326">
          <w:rPr>
            <w:noProof/>
            <w:webHidden/>
          </w:rPr>
          <w:instrText xml:space="preserve"> PAGEREF _Toc335491250 \h </w:instrText>
        </w:r>
        <w:r>
          <w:rPr>
            <w:noProof/>
            <w:webHidden/>
          </w:rPr>
        </w:r>
        <w:r>
          <w:rPr>
            <w:noProof/>
            <w:webHidden/>
          </w:rPr>
          <w:fldChar w:fldCharType="separate"/>
        </w:r>
        <w:r w:rsidR="00657095">
          <w:rPr>
            <w:noProof/>
            <w:webHidden/>
          </w:rPr>
          <w:t>8</w:t>
        </w:r>
        <w:r>
          <w:rPr>
            <w:noProof/>
            <w:webHidden/>
          </w:rPr>
          <w:fldChar w:fldCharType="end"/>
        </w:r>
      </w:hyperlink>
    </w:p>
    <w:p w:rsidR="000C6326" w:rsidRDefault="0067118E">
      <w:pPr>
        <w:pStyle w:val="TDC2"/>
        <w:rPr>
          <w:rFonts w:asciiTheme="minorHAnsi" w:eastAsiaTheme="minorEastAsia" w:hAnsiTheme="minorHAnsi" w:cstheme="minorBidi"/>
          <w:noProof/>
          <w:lang w:val="es-ES" w:eastAsia="es-ES"/>
        </w:rPr>
      </w:pPr>
      <w:hyperlink w:anchor="_Toc335491251" w:history="1">
        <w:r w:rsidR="000C6326" w:rsidRPr="00E15641">
          <w:rPr>
            <w:rStyle w:val="Hipervnculo"/>
            <w:noProof/>
          </w:rPr>
          <w:t>Conceptos</w:t>
        </w:r>
        <w:r w:rsidR="000C6326">
          <w:rPr>
            <w:noProof/>
            <w:webHidden/>
          </w:rPr>
          <w:tab/>
        </w:r>
        <w:r>
          <w:rPr>
            <w:noProof/>
            <w:webHidden/>
          </w:rPr>
          <w:fldChar w:fldCharType="begin"/>
        </w:r>
        <w:r w:rsidR="000C6326">
          <w:rPr>
            <w:noProof/>
            <w:webHidden/>
          </w:rPr>
          <w:instrText xml:space="preserve"> PAGEREF _Toc335491251 \h </w:instrText>
        </w:r>
        <w:r>
          <w:rPr>
            <w:noProof/>
            <w:webHidden/>
          </w:rPr>
        </w:r>
        <w:r>
          <w:rPr>
            <w:noProof/>
            <w:webHidden/>
          </w:rPr>
          <w:fldChar w:fldCharType="separate"/>
        </w:r>
        <w:r w:rsidR="00657095">
          <w:rPr>
            <w:noProof/>
            <w:webHidden/>
          </w:rPr>
          <w:t>8</w:t>
        </w:r>
        <w:r>
          <w:rPr>
            <w:noProof/>
            <w:webHidden/>
          </w:rPr>
          <w:fldChar w:fldCharType="end"/>
        </w:r>
      </w:hyperlink>
    </w:p>
    <w:p w:rsidR="000C6326" w:rsidRDefault="0067118E">
      <w:pPr>
        <w:pStyle w:val="TDC2"/>
        <w:rPr>
          <w:rFonts w:asciiTheme="minorHAnsi" w:eastAsiaTheme="minorEastAsia" w:hAnsiTheme="minorHAnsi" w:cstheme="minorBidi"/>
          <w:noProof/>
          <w:lang w:val="es-ES" w:eastAsia="es-ES"/>
        </w:rPr>
      </w:pPr>
      <w:hyperlink w:anchor="_Toc335491252" w:history="1">
        <w:r w:rsidR="000C6326" w:rsidRPr="00E15641">
          <w:rPr>
            <w:rStyle w:val="Hipervnculo"/>
            <w:noProof/>
          </w:rPr>
          <w:t>Postulados y consideraciones</w:t>
        </w:r>
        <w:r w:rsidR="000C6326">
          <w:rPr>
            <w:noProof/>
            <w:webHidden/>
          </w:rPr>
          <w:tab/>
        </w:r>
        <w:r>
          <w:rPr>
            <w:noProof/>
            <w:webHidden/>
          </w:rPr>
          <w:fldChar w:fldCharType="begin"/>
        </w:r>
        <w:r w:rsidR="000C6326">
          <w:rPr>
            <w:noProof/>
            <w:webHidden/>
          </w:rPr>
          <w:instrText xml:space="preserve"> PAGEREF _Toc335491252 \h </w:instrText>
        </w:r>
        <w:r>
          <w:rPr>
            <w:noProof/>
            <w:webHidden/>
          </w:rPr>
        </w:r>
        <w:r>
          <w:rPr>
            <w:noProof/>
            <w:webHidden/>
          </w:rPr>
          <w:fldChar w:fldCharType="separate"/>
        </w:r>
        <w:r w:rsidR="00657095">
          <w:rPr>
            <w:noProof/>
            <w:webHidden/>
          </w:rPr>
          <w:t>8</w:t>
        </w:r>
        <w:r>
          <w:rPr>
            <w:noProof/>
            <w:webHidden/>
          </w:rPr>
          <w:fldChar w:fldCharType="end"/>
        </w:r>
      </w:hyperlink>
    </w:p>
    <w:p w:rsidR="000C6326" w:rsidRDefault="0067118E">
      <w:pPr>
        <w:pStyle w:val="TDC1"/>
        <w:rPr>
          <w:rFonts w:asciiTheme="minorHAnsi" w:eastAsiaTheme="minorEastAsia" w:hAnsiTheme="minorHAnsi" w:cstheme="minorBidi"/>
          <w:noProof/>
          <w:lang w:val="es-ES" w:eastAsia="es-ES"/>
        </w:rPr>
      </w:pPr>
      <w:hyperlink w:anchor="_Toc335491253" w:history="1">
        <w:r w:rsidR="000C6326" w:rsidRPr="00E15641">
          <w:rPr>
            <w:rStyle w:val="Hipervnculo"/>
            <w:noProof/>
          </w:rPr>
          <w:t>Anexo I. Actores institucionales y organizaciones con incidencia potencial en el CBM</w:t>
        </w:r>
        <w:r w:rsidR="000C6326">
          <w:rPr>
            <w:noProof/>
            <w:webHidden/>
          </w:rPr>
          <w:tab/>
        </w:r>
        <w:r>
          <w:rPr>
            <w:noProof/>
            <w:webHidden/>
          </w:rPr>
          <w:fldChar w:fldCharType="begin"/>
        </w:r>
        <w:r w:rsidR="000C6326">
          <w:rPr>
            <w:noProof/>
            <w:webHidden/>
          </w:rPr>
          <w:instrText xml:space="preserve"> PAGEREF _Toc335491253 \h </w:instrText>
        </w:r>
        <w:r>
          <w:rPr>
            <w:noProof/>
            <w:webHidden/>
          </w:rPr>
        </w:r>
        <w:r>
          <w:rPr>
            <w:noProof/>
            <w:webHidden/>
          </w:rPr>
          <w:fldChar w:fldCharType="separate"/>
        </w:r>
        <w:r w:rsidR="00657095">
          <w:rPr>
            <w:noProof/>
            <w:webHidden/>
          </w:rPr>
          <w:t>9</w:t>
        </w:r>
        <w:r>
          <w:rPr>
            <w:noProof/>
            <w:webHidden/>
          </w:rPr>
          <w:fldChar w:fldCharType="end"/>
        </w:r>
      </w:hyperlink>
    </w:p>
    <w:p w:rsidR="000C6326" w:rsidRDefault="0067118E">
      <w:pPr>
        <w:pStyle w:val="TDC2"/>
        <w:rPr>
          <w:rFonts w:asciiTheme="minorHAnsi" w:eastAsiaTheme="minorEastAsia" w:hAnsiTheme="minorHAnsi" w:cstheme="minorBidi"/>
          <w:noProof/>
          <w:lang w:val="es-ES" w:eastAsia="es-ES"/>
        </w:rPr>
      </w:pPr>
      <w:hyperlink w:anchor="_Toc335491254" w:history="1">
        <w:r w:rsidR="000C6326" w:rsidRPr="00E15641">
          <w:rPr>
            <w:rStyle w:val="Hipervnculo"/>
            <w:noProof/>
          </w:rPr>
          <w:t>Siglas</w:t>
        </w:r>
        <w:r w:rsidR="000C6326">
          <w:rPr>
            <w:noProof/>
            <w:webHidden/>
          </w:rPr>
          <w:tab/>
        </w:r>
        <w:r>
          <w:rPr>
            <w:noProof/>
            <w:webHidden/>
          </w:rPr>
          <w:fldChar w:fldCharType="begin"/>
        </w:r>
        <w:r w:rsidR="000C6326">
          <w:rPr>
            <w:noProof/>
            <w:webHidden/>
          </w:rPr>
          <w:instrText xml:space="preserve"> PAGEREF _Toc335491254 \h </w:instrText>
        </w:r>
        <w:r>
          <w:rPr>
            <w:noProof/>
            <w:webHidden/>
          </w:rPr>
        </w:r>
        <w:r>
          <w:rPr>
            <w:noProof/>
            <w:webHidden/>
          </w:rPr>
          <w:fldChar w:fldCharType="separate"/>
        </w:r>
        <w:r w:rsidR="00657095">
          <w:rPr>
            <w:noProof/>
            <w:webHidden/>
          </w:rPr>
          <w:t>11</w:t>
        </w:r>
        <w:r>
          <w:rPr>
            <w:noProof/>
            <w:webHidden/>
          </w:rPr>
          <w:fldChar w:fldCharType="end"/>
        </w:r>
      </w:hyperlink>
    </w:p>
    <w:p w:rsidR="000C6326" w:rsidRDefault="0067118E">
      <w:pPr>
        <w:pStyle w:val="TDC1"/>
        <w:rPr>
          <w:rFonts w:asciiTheme="minorHAnsi" w:eastAsiaTheme="minorEastAsia" w:hAnsiTheme="minorHAnsi" w:cstheme="minorBidi"/>
          <w:noProof/>
          <w:lang w:val="es-ES" w:eastAsia="es-ES"/>
        </w:rPr>
      </w:pPr>
      <w:hyperlink w:anchor="_Toc335491255" w:history="1">
        <w:r w:rsidR="000C6326" w:rsidRPr="00E15641">
          <w:rPr>
            <w:rStyle w:val="Hipervnculo"/>
            <w:noProof/>
          </w:rPr>
          <w:t>Anexo II. Programas y proyectos actuales pertinentes para el plan CBM-2020</w:t>
        </w:r>
        <w:r w:rsidR="000C6326">
          <w:rPr>
            <w:noProof/>
            <w:webHidden/>
          </w:rPr>
          <w:tab/>
        </w:r>
        <w:r>
          <w:rPr>
            <w:noProof/>
            <w:webHidden/>
          </w:rPr>
          <w:fldChar w:fldCharType="begin"/>
        </w:r>
        <w:r w:rsidR="000C6326">
          <w:rPr>
            <w:noProof/>
            <w:webHidden/>
          </w:rPr>
          <w:instrText xml:space="preserve"> PAGEREF _Toc335491255 \h </w:instrText>
        </w:r>
        <w:r>
          <w:rPr>
            <w:noProof/>
            <w:webHidden/>
          </w:rPr>
        </w:r>
        <w:r>
          <w:rPr>
            <w:noProof/>
            <w:webHidden/>
          </w:rPr>
          <w:fldChar w:fldCharType="separate"/>
        </w:r>
        <w:r w:rsidR="00657095">
          <w:rPr>
            <w:noProof/>
            <w:webHidden/>
          </w:rPr>
          <w:t>13</w:t>
        </w:r>
        <w:r>
          <w:rPr>
            <w:noProof/>
            <w:webHidden/>
          </w:rPr>
          <w:fldChar w:fldCharType="end"/>
        </w:r>
      </w:hyperlink>
    </w:p>
    <w:p w:rsidR="000C6326" w:rsidRDefault="0067118E">
      <w:pPr>
        <w:pStyle w:val="TDC1"/>
        <w:rPr>
          <w:rFonts w:asciiTheme="minorHAnsi" w:eastAsiaTheme="minorEastAsia" w:hAnsiTheme="minorHAnsi" w:cstheme="minorBidi"/>
          <w:noProof/>
          <w:lang w:val="es-ES" w:eastAsia="es-ES"/>
        </w:rPr>
      </w:pPr>
      <w:hyperlink w:anchor="_Toc335491256" w:history="1">
        <w:r w:rsidR="000C6326" w:rsidRPr="00E15641">
          <w:rPr>
            <w:rStyle w:val="Hipervnculo"/>
            <w:noProof/>
          </w:rPr>
          <w:t>Anexo III. Hoja de ruta para impulsar el plan director CBM-2020</w:t>
        </w:r>
        <w:r w:rsidR="000C6326">
          <w:rPr>
            <w:noProof/>
            <w:webHidden/>
          </w:rPr>
          <w:tab/>
        </w:r>
        <w:r>
          <w:rPr>
            <w:noProof/>
            <w:webHidden/>
          </w:rPr>
          <w:fldChar w:fldCharType="begin"/>
        </w:r>
        <w:r w:rsidR="000C6326">
          <w:rPr>
            <w:noProof/>
            <w:webHidden/>
          </w:rPr>
          <w:instrText xml:space="preserve"> PAGEREF _Toc335491256 \h </w:instrText>
        </w:r>
        <w:r>
          <w:rPr>
            <w:noProof/>
            <w:webHidden/>
          </w:rPr>
        </w:r>
        <w:r>
          <w:rPr>
            <w:noProof/>
            <w:webHidden/>
          </w:rPr>
          <w:fldChar w:fldCharType="separate"/>
        </w:r>
        <w:r w:rsidR="00657095">
          <w:rPr>
            <w:noProof/>
            <w:webHidden/>
          </w:rPr>
          <w:t>14</w:t>
        </w:r>
        <w:r>
          <w:rPr>
            <w:noProof/>
            <w:webHidden/>
          </w:rPr>
          <w:fldChar w:fldCharType="end"/>
        </w:r>
      </w:hyperlink>
    </w:p>
    <w:p w:rsidR="00CB73F8" w:rsidRDefault="0067118E" w:rsidP="008B14E5">
      <w:pPr>
        <w:tabs>
          <w:tab w:val="right" w:pos="8505"/>
        </w:tabs>
        <w:ind w:left="510" w:hanging="510"/>
      </w:pPr>
      <w:r>
        <w:fldChar w:fldCharType="end"/>
      </w:r>
    </w:p>
    <w:p w:rsidR="008C7ACA" w:rsidRPr="00CB73F8" w:rsidRDefault="008C7ACA" w:rsidP="008B14E5"/>
    <w:p w:rsidR="00D41996" w:rsidRDefault="00D41996" w:rsidP="00BE50FC">
      <w:pPr>
        <w:pStyle w:val="Ttulo1"/>
        <w:sectPr w:rsidR="00D41996" w:rsidSect="00001461">
          <w:pgSz w:w="12242" w:h="15842" w:code="120"/>
          <w:pgMar w:top="1417" w:right="1701" w:bottom="1417" w:left="1701" w:header="567" w:footer="567" w:gutter="0"/>
          <w:cols w:space="708"/>
          <w:docGrid w:linePitch="360"/>
        </w:sectPr>
      </w:pPr>
    </w:p>
    <w:p w:rsidR="009D7267" w:rsidRDefault="00532B71" w:rsidP="00BE50FC">
      <w:pPr>
        <w:pStyle w:val="Ttulo1"/>
      </w:pPr>
      <w:bookmarkStart w:id="0" w:name="_Toc335491239"/>
      <w:r w:rsidRPr="00871613">
        <w:lastRenderedPageBreak/>
        <w:t>Antecedentes</w:t>
      </w:r>
      <w:bookmarkEnd w:id="0"/>
    </w:p>
    <w:p w:rsidR="00B02F16" w:rsidRDefault="00E075A2" w:rsidP="008B14E5">
      <w:r>
        <w:t xml:space="preserve">El Corredor Biológico Mesoamericano (CBM) fue en principio una iniciativa coordinada de políticas de conservación </w:t>
      </w:r>
      <w:r w:rsidR="007464BB">
        <w:t>para</w:t>
      </w:r>
      <w:r>
        <w:t xml:space="preserve"> mantener la conectividad entre los ecosiste</w:t>
      </w:r>
      <w:r w:rsidR="006225A9">
        <w:t>mas de Norteamérica y los de Sur</w:t>
      </w:r>
      <w:r>
        <w:t>américa a través de distintos espacios naturales en el Istmo Centroamericano.</w:t>
      </w:r>
      <w:r w:rsidR="00B02F16">
        <w:t xml:space="preserve"> </w:t>
      </w:r>
      <w:r>
        <w:t xml:space="preserve">La primera etapa del CBM se pactó en </w:t>
      </w:r>
      <w:r w:rsidR="00137FB1">
        <w:t xml:space="preserve">1998, en </w:t>
      </w:r>
      <w:r>
        <w:t>San Salvador, en la III Cumbre de Jefes de Estado y de Gobierno del Mecanismo de Di</w:t>
      </w:r>
      <w:r w:rsidR="00B02F16">
        <w:t>álogo y Concertación de Tuxtla.</w:t>
      </w:r>
    </w:p>
    <w:p w:rsidR="00137FB1" w:rsidRDefault="00E075A2" w:rsidP="00137FB1">
      <w:r>
        <w:t xml:space="preserve">El CBM operó como proyecto en Centroamérica de 1999 a 2006, y en México de 2002 a 2009, con apoyo del Fondo para el Medio Ambiente Mundial </w:t>
      </w:r>
      <w:r w:rsidR="00175371">
        <w:t xml:space="preserve">(GEF, por sus siglas en inglés), y </w:t>
      </w:r>
      <w:r w:rsidR="00B02F16">
        <w:t>se centró en fomentar prácticas productivas sostenibles en corredores biológicos para formar con las áreas protegidas una red no interrumpida por las fronteras.</w:t>
      </w:r>
    </w:p>
    <w:p w:rsidR="00137FB1" w:rsidRDefault="00137FB1" w:rsidP="00137FB1">
      <w:r>
        <w:t>Concluidos los proyectos, el CBM adoptó formas diversas de institucionalización en los países de Mesoamérica. Durante el periodo 2009-2012, se realizaron seis reuniones de enlaces nacionales con participación de las áreas a cargo del tema de gestión de corredores en las instituciones del sector ambiental de los gobiernos nacionales de la región.</w:t>
      </w:r>
      <w:r>
        <w:rPr>
          <w:rStyle w:val="Refdenotaalpie"/>
        </w:rPr>
        <w:footnoteReference w:id="2"/>
      </w:r>
    </w:p>
    <w:p w:rsidR="00314224" w:rsidRDefault="00314224" w:rsidP="00314224">
      <w:r>
        <w:t xml:space="preserve">En 2008, los ministros de ambiente de Mesoamérica impulsaron un proceso de definición de prioridades para la gestión ambiental regional y suscribieron la </w:t>
      </w:r>
      <w:r w:rsidRPr="00235712">
        <w:t>Estrategia Mesoamericana de Sustentabilidad Ambiental (EMSA)</w:t>
      </w:r>
      <w:r>
        <w:t xml:space="preserve">, la cual fue respaldada por </w:t>
      </w:r>
      <w:r w:rsidRPr="00235712">
        <w:t>la Cumbre de Jefes de Estado y de Gobierno del Mecanismo de Diálogo y Concertación de Tuxtla</w:t>
      </w:r>
      <w:r>
        <w:t>.</w:t>
      </w:r>
    </w:p>
    <w:p w:rsidR="00B2071E" w:rsidRDefault="00235712" w:rsidP="00B2071E">
      <w:r>
        <w:t>En 2010</w:t>
      </w:r>
      <w:r w:rsidR="005D086B">
        <w:t>,</w:t>
      </w:r>
      <w:r>
        <w:t xml:space="preserve"> se </w:t>
      </w:r>
      <w:r w:rsidR="005D086B">
        <w:t xml:space="preserve">avanzó en la </w:t>
      </w:r>
      <w:r>
        <w:t>formul</w:t>
      </w:r>
      <w:r w:rsidR="005D086B">
        <w:t>ación de</w:t>
      </w:r>
      <w:r>
        <w:t xml:space="preserve"> un Plan de Acción de la EMSA, que </w:t>
      </w:r>
      <w:r w:rsidR="00E91ADC">
        <w:t>señaló</w:t>
      </w:r>
      <w:r>
        <w:t xml:space="preserve"> diez líneas de cooperación permanente</w:t>
      </w:r>
      <w:r w:rsidR="00B2071E">
        <w:t>,</w:t>
      </w:r>
      <w:r w:rsidR="00D8626F">
        <w:t xml:space="preserve"> e</w:t>
      </w:r>
      <w:r>
        <w:t xml:space="preserve">ntre </w:t>
      </w:r>
      <w:r w:rsidR="005D086B">
        <w:t>el</w:t>
      </w:r>
      <w:r>
        <w:t>las la de “Fortalecimiento del Corredor Biológico Mesoamericano (CBM) y coordinaci</w:t>
      </w:r>
      <w:r w:rsidR="00B2071E">
        <w:t xml:space="preserve">ón entre Corredores Biológicos”; el presente plan director </w:t>
      </w:r>
      <w:r w:rsidR="003660BA">
        <w:t>se propone par</w:t>
      </w:r>
      <w:r w:rsidR="00B2071E">
        <w:t xml:space="preserve">a posibilitar </w:t>
      </w:r>
      <w:r w:rsidR="006369EF">
        <w:t>la</w:t>
      </w:r>
      <w:r w:rsidR="0082007E">
        <w:t xml:space="preserve"> implementación</w:t>
      </w:r>
      <w:r w:rsidR="006369EF">
        <w:t xml:space="preserve"> de esta línea de cooperación</w:t>
      </w:r>
      <w:r w:rsidR="0082007E">
        <w:t>.</w:t>
      </w:r>
    </w:p>
    <w:p w:rsidR="003A2277" w:rsidRPr="00532B71" w:rsidRDefault="003A2277" w:rsidP="00BE50FC">
      <w:pPr>
        <w:pStyle w:val="Ttulo1"/>
      </w:pPr>
      <w:bookmarkStart w:id="1" w:name="_Toc335491240"/>
      <w:r>
        <w:t>Iniciativa</w:t>
      </w:r>
      <w:bookmarkEnd w:id="1"/>
    </w:p>
    <w:p w:rsidR="00DE6818" w:rsidRDefault="0082007E" w:rsidP="00DE6818">
      <w:r>
        <w:t xml:space="preserve">Este plan director </w:t>
      </w:r>
      <w:r w:rsidR="00B2071E">
        <w:t>o marco de planificación</w:t>
      </w:r>
      <w:r w:rsidR="00DE6818" w:rsidRPr="00DE6818">
        <w:t xml:space="preserve"> </w:t>
      </w:r>
      <w:r w:rsidR="00DE6818">
        <w:t>apunta a que diversos esfuerzos de gestión territorial en el CBM converjan en estrategias de desarrollo compartidas, y logren sinergia a través de e</w:t>
      </w:r>
      <w:r w:rsidR="00DE6818" w:rsidRPr="0087560B">
        <w:t xml:space="preserve">squemas incluyentes y participativos </w:t>
      </w:r>
      <w:r w:rsidR="00DE6818">
        <w:t>entre instituciones de gobiernos de los sectores ambiental, agropecuario, salud y bienestar social; instituciones académicas y de investigación, públicas o privadas; organizaciones no gubernamentales y civiles; organizaciones sociales, gremiales y de base; empresas; organismos internacionales e instancias de coordinación, y agencias de cooperación internacional.</w:t>
      </w:r>
    </w:p>
    <w:p w:rsidR="002D489E" w:rsidRPr="000C5270" w:rsidRDefault="002D489E" w:rsidP="002D489E">
      <w:pPr>
        <w:pStyle w:val="Ttulo1"/>
      </w:pPr>
      <w:bookmarkStart w:id="2" w:name="_Toc335491241"/>
      <w:r w:rsidRPr="000C5270">
        <w:t>De</w:t>
      </w:r>
      <w:r>
        <w:t>limitación espacial</w:t>
      </w:r>
      <w:bookmarkEnd w:id="2"/>
    </w:p>
    <w:p w:rsidR="002D489E" w:rsidRDefault="002D489E" w:rsidP="002D489E">
      <w:r>
        <w:t>Á</w:t>
      </w:r>
      <w:r w:rsidRPr="00360863">
        <w:t>reas, paisajes y zonas de conectividad del Darién a</w:t>
      </w:r>
      <w:r>
        <w:t xml:space="preserve"> Oaxaca</w:t>
      </w:r>
      <w:r w:rsidRPr="00360863">
        <w:t xml:space="preserve"> con alto valor de provisión de servicios ecosistémicos</w:t>
      </w:r>
      <w:r>
        <w:t>.</w:t>
      </w:r>
    </w:p>
    <w:p w:rsidR="009E440E" w:rsidRDefault="009E440E" w:rsidP="002D489E">
      <w:pPr>
        <w:pStyle w:val="Ttulo1"/>
      </w:pPr>
      <w:bookmarkStart w:id="3" w:name="_Toc335491242"/>
      <w:r>
        <w:t>Plazo</w:t>
      </w:r>
      <w:bookmarkEnd w:id="3"/>
    </w:p>
    <w:p w:rsidR="009E440E" w:rsidRDefault="009E440E" w:rsidP="002D489E">
      <w:r>
        <w:t>Periodo hasta 2020.</w:t>
      </w:r>
    </w:p>
    <w:p w:rsidR="009D7267" w:rsidRPr="007B6321" w:rsidRDefault="009D7267" w:rsidP="002D489E">
      <w:pPr>
        <w:pStyle w:val="Ttulo1"/>
      </w:pPr>
      <w:bookmarkStart w:id="4" w:name="_Toc335491243"/>
      <w:r w:rsidRPr="002D489E">
        <w:t>Finalidad</w:t>
      </w:r>
      <w:bookmarkEnd w:id="4"/>
    </w:p>
    <w:p w:rsidR="009D7267" w:rsidRDefault="009D7267" w:rsidP="002D489E">
      <w:r>
        <w:t xml:space="preserve">Mantener </w:t>
      </w:r>
      <w:r w:rsidRPr="0024219F">
        <w:t>la funcionalidad socioecosistémica</w:t>
      </w:r>
      <w:r>
        <w:t xml:space="preserve"> de</w:t>
      </w:r>
      <w:r w:rsidRPr="004F1763">
        <w:t xml:space="preserve">l </w:t>
      </w:r>
      <w:r w:rsidRPr="00074B6E">
        <w:t>Corredo</w:t>
      </w:r>
      <w:r>
        <w:t>r Biológico Mesoamericano (CBM).</w:t>
      </w:r>
    </w:p>
    <w:p w:rsidR="009D7267" w:rsidRDefault="009D7267" w:rsidP="00BE50FC">
      <w:pPr>
        <w:pStyle w:val="Ttulo1"/>
      </w:pPr>
      <w:bookmarkStart w:id="5" w:name="_Toc335491244"/>
      <w:r w:rsidRPr="007B6321">
        <w:lastRenderedPageBreak/>
        <w:t>Objetivo</w:t>
      </w:r>
      <w:bookmarkEnd w:id="5"/>
    </w:p>
    <w:p w:rsidR="009D7267" w:rsidRDefault="009D7267" w:rsidP="006768C9">
      <w:r>
        <w:t xml:space="preserve">Impulsar en el CBM una </w:t>
      </w:r>
      <w:r w:rsidRPr="0024219F">
        <w:t xml:space="preserve">política </w:t>
      </w:r>
      <w:r w:rsidRPr="00986B00">
        <w:t>transectorial y</w:t>
      </w:r>
      <w:r>
        <w:t xml:space="preserve"> multiactores de gestión territorial sostenible centrada en </w:t>
      </w:r>
      <w:r w:rsidRPr="00A42F41">
        <w:t>proteger el patrimonio natural, mejorar la</w:t>
      </w:r>
      <w:r w:rsidR="00A538BE">
        <w:t xml:space="preserve"> calidad</w:t>
      </w:r>
      <w:r w:rsidRPr="00A42F41">
        <w:t xml:space="preserve"> de vida de los habitantes y </w:t>
      </w:r>
      <w:r w:rsidR="00443FDE">
        <w:t>elevar la capacidad de adaptación</w:t>
      </w:r>
      <w:r w:rsidRPr="00A42F41">
        <w:t xml:space="preserve"> ante el cambio climático</w:t>
      </w:r>
      <w:r>
        <w:t>.</w:t>
      </w:r>
    </w:p>
    <w:p w:rsidR="009D7267" w:rsidRDefault="009D7267" w:rsidP="00BE50FC">
      <w:pPr>
        <w:pStyle w:val="Ttulo1"/>
      </w:pPr>
      <w:bookmarkStart w:id="6" w:name="_Toc335491245"/>
      <w:r w:rsidRPr="00300689">
        <w:t>Ejes estratégicos</w:t>
      </w:r>
      <w:r>
        <w:t xml:space="preserve"> y líneas de acción</w:t>
      </w:r>
      <w:bookmarkEnd w:id="6"/>
    </w:p>
    <w:p w:rsidR="0001391C" w:rsidRPr="00DE6818" w:rsidRDefault="0001391C" w:rsidP="0001391C">
      <w:r>
        <w:t xml:space="preserve">El plan director </w:t>
      </w:r>
      <w:r w:rsidR="006204F4">
        <w:t>CBM-2020</w:t>
      </w:r>
      <w:r w:rsidRPr="00DE6818">
        <w:t xml:space="preserve"> adopta la tesis —</w:t>
      </w:r>
      <w:r>
        <w:t>planteada</w:t>
      </w:r>
      <w:r w:rsidRPr="00DE6818">
        <w:t xml:space="preserve"> en la EMSA— de que las formas de coordinación y las modalidades de cooperación entre los actores representan una capacidad de respuesta conjunta que puede potenciarse si la acción coordinada se concentra en prioridades determinadas de común acuerdo.</w:t>
      </w:r>
    </w:p>
    <w:p w:rsidR="009D7267" w:rsidRDefault="009D7267" w:rsidP="0062571E">
      <w:pPr>
        <w:pStyle w:val="Prrafodelista"/>
        <w:keepNext/>
        <w:keepLines/>
        <w:widowControl w:val="0"/>
        <w:numPr>
          <w:ilvl w:val="0"/>
          <w:numId w:val="13"/>
        </w:numPr>
        <w:spacing w:after="120" w:line="240" w:lineRule="auto"/>
        <w:ind w:left="357" w:hanging="357"/>
        <w:contextualSpacing w:val="0"/>
      </w:pPr>
      <w:r>
        <w:t>P</w:t>
      </w:r>
      <w:r w:rsidRPr="00861B7B">
        <w:t>roteger el patrimonio natural</w:t>
      </w:r>
    </w:p>
    <w:p w:rsidR="00BA63F0" w:rsidRDefault="00BA63F0" w:rsidP="00BA63F0">
      <w:pPr>
        <w:pStyle w:val="Prrafodelista"/>
        <w:numPr>
          <w:ilvl w:val="1"/>
          <w:numId w:val="13"/>
        </w:numPr>
        <w:spacing w:after="120" w:line="240" w:lineRule="auto"/>
        <w:contextualSpacing w:val="0"/>
      </w:pPr>
      <w:r>
        <w:t>Instrumentos de gestión ambiental:</w:t>
      </w:r>
      <w:r>
        <w:br/>
        <w:t>– áreas protegidas</w:t>
      </w:r>
      <w:r>
        <w:tab/>
      </w:r>
      <w:r>
        <w:br/>
        <w:t>– corredores biológicos</w:t>
      </w:r>
      <w:r>
        <w:tab/>
      </w:r>
      <w:r>
        <w:br/>
        <w:t>– esquemas de protección y uso sostenible de vida silvestre</w:t>
      </w:r>
      <w:r>
        <w:tab/>
      </w:r>
      <w:r>
        <w:br/>
        <w:t>– ordenamiento territorial ambiental</w:t>
      </w:r>
      <w:r>
        <w:tab/>
      </w:r>
      <w:r>
        <w:br/>
        <w:t>– esquemas de manejo integral de cuencas hidrográficas</w:t>
      </w:r>
      <w:r>
        <w:tab/>
      </w:r>
      <w:r>
        <w:br/>
        <w:t>– evaluación ambiental estratégica</w:t>
      </w:r>
    </w:p>
    <w:p w:rsidR="00A54F65" w:rsidRDefault="00A54F65" w:rsidP="00A54F65">
      <w:pPr>
        <w:pStyle w:val="Prrafodelista"/>
        <w:numPr>
          <w:ilvl w:val="1"/>
          <w:numId w:val="13"/>
        </w:numPr>
        <w:spacing w:after="120" w:line="240" w:lineRule="auto"/>
        <w:contextualSpacing w:val="0"/>
      </w:pPr>
      <w:r>
        <w:t>Prevención de riesgos y restauración ecológica.</w:t>
      </w:r>
    </w:p>
    <w:p w:rsidR="009D7267" w:rsidRDefault="009D7267" w:rsidP="0062571E">
      <w:pPr>
        <w:pStyle w:val="Prrafodelista"/>
        <w:keepNext/>
        <w:keepLines/>
        <w:widowControl w:val="0"/>
        <w:numPr>
          <w:ilvl w:val="0"/>
          <w:numId w:val="13"/>
        </w:numPr>
        <w:spacing w:after="120" w:line="240" w:lineRule="auto"/>
        <w:ind w:left="357" w:hanging="357"/>
        <w:contextualSpacing w:val="0"/>
      </w:pPr>
      <w:r>
        <w:t>M</w:t>
      </w:r>
      <w:r w:rsidRPr="00861B7B">
        <w:t xml:space="preserve">ejorar </w:t>
      </w:r>
      <w:r w:rsidR="00A538BE" w:rsidRPr="00A42F41">
        <w:t>la</w:t>
      </w:r>
      <w:r w:rsidR="00A538BE">
        <w:t xml:space="preserve"> calidad</w:t>
      </w:r>
      <w:r w:rsidR="00A538BE" w:rsidRPr="00A42F41">
        <w:t xml:space="preserve"> </w:t>
      </w:r>
      <w:r w:rsidRPr="00861B7B">
        <w:t>de vida de los habitantes</w:t>
      </w:r>
      <w:r>
        <w:t>.</w:t>
      </w:r>
    </w:p>
    <w:p w:rsidR="00A54F65" w:rsidRPr="00C305E1" w:rsidRDefault="00A54F65" w:rsidP="00A54F65">
      <w:pPr>
        <w:pStyle w:val="Prrafodelista"/>
        <w:numPr>
          <w:ilvl w:val="1"/>
          <w:numId w:val="13"/>
        </w:numPr>
        <w:spacing w:after="120" w:line="240" w:lineRule="auto"/>
        <w:contextualSpacing w:val="0"/>
      </w:pPr>
      <w:r>
        <w:t>Productividad y competitividad de la producción para la s</w:t>
      </w:r>
      <w:r w:rsidRPr="00C305E1">
        <w:t>eguridad alimentaria</w:t>
      </w:r>
      <w:r>
        <w:t>.</w:t>
      </w:r>
    </w:p>
    <w:p w:rsidR="00880F05" w:rsidRDefault="00880F05" w:rsidP="00880F05">
      <w:pPr>
        <w:pStyle w:val="Prrafodelista"/>
        <w:numPr>
          <w:ilvl w:val="1"/>
          <w:numId w:val="13"/>
        </w:numPr>
        <w:spacing w:after="120" w:line="240" w:lineRule="auto"/>
        <w:contextualSpacing w:val="0"/>
      </w:pPr>
      <w:r>
        <w:t>Instrumentos económicos y esquemas comerciales para incentivar la producción sostenible:</w:t>
      </w:r>
      <w:r>
        <w:br/>
        <w:t>– pago por servicios ambientales</w:t>
      </w:r>
      <w:r>
        <w:tab/>
      </w:r>
      <w:r>
        <w:br/>
        <w:t>– cobro de derechos</w:t>
      </w:r>
      <w:r>
        <w:tab/>
      </w:r>
      <w:r>
        <w:br/>
        <w:t>– compensaciones</w:t>
      </w:r>
      <w:r>
        <w:tab/>
      </w:r>
      <w:r>
        <w:br/>
        <w:t>– incentivos</w:t>
      </w:r>
      <w:r>
        <w:br/>
        <w:t>– ecocertificación</w:t>
      </w:r>
      <w:r>
        <w:tab/>
      </w:r>
      <w:r>
        <w:br/>
        <w:t>– ecoetiquetado</w:t>
      </w:r>
      <w:r>
        <w:br/>
        <w:t>– acceso a financiamiento</w:t>
      </w:r>
    </w:p>
    <w:p w:rsidR="00A54F65" w:rsidRDefault="00193350" w:rsidP="00A54F65">
      <w:pPr>
        <w:pStyle w:val="Prrafodelista"/>
        <w:numPr>
          <w:ilvl w:val="1"/>
          <w:numId w:val="13"/>
        </w:numPr>
        <w:spacing w:after="120" w:line="240" w:lineRule="auto"/>
        <w:contextualSpacing w:val="0"/>
      </w:pPr>
      <w:r>
        <w:t>Seguridad energética y control de impacto ambiental local</w:t>
      </w:r>
      <w:r w:rsidR="00A54F65">
        <w:t xml:space="preserve">. </w:t>
      </w:r>
    </w:p>
    <w:p w:rsidR="009D7267" w:rsidRDefault="00651537" w:rsidP="0062571E">
      <w:pPr>
        <w:pStyle w:val="Prrafodelista"/>
        <w:keepNext/>
        <w:keepLines/>
        <w:widowControl w:val="0"/>
        <w:numPr>
          <w:ilvl w:val="0"/>
          <w:numId w:val="13"/>
        </w:numPr>
        <w:spacing w:after="120" w:line="240" w:lineRule="auto"/>
        <w:ind w:left="357" w:hanging="357"/>
        <w:contextualSpacing w:val="0"/>
      </w:pPr>
      <w:r>
        <w:t xml:space="preserve">Elevar la capacidad de adaptación </w:t>
      </w:r>
      <w:r w:rsidR="009D7267" w:rsidRPr="00861B7B">
        <w:t>ante el cambio climático</w:t>
      </w:r>
      <w:r w:rsidR="009D7267">
        <w:t>.</w:t>
      </w:r>
    </w:p>
    <w:p w:rsidR="009D7267" w:rsidRDefault="005A2A16" w:rsidP="0062571E">
      <w:pPr>
        <w:pStyle w:val="Prrafodelista"/>
        <w:numPr>
          <w:ilvl w:val="1"/>
          <w:numId w:val="13"/>
        </w:numPr>
        <w:spacing w:after="120" w:line="240" w:lineRule="auto"/>
        <w:contextualSpacing w:val="0"/>
      </w:pPr>
      <w:r>
        <w:t>Resiliencia de sistemas productivos sostenibles</w:t>
      </w:r>
      <w:r w:rsidR="009D7267">
        <w:t>.</w:t>
      </w:r>
    </w:p>
    <w:p w:rsidR="009D7267" w:rsidRDefault="00BA63F0" w:rsidP="0062571E">
      <w:pPr>
        <w:pStyle w:val="Prrafodelista"/>
        <w:numPr>
          <w:ilvl w:val="1"/>
          <w:numId w:val="13"/>
        </w:numPr>
        <w:spacing w:after="120" w:line="240" w:lineRule="auto"/>
        <w:contextualSpacing w:val="0"/>
      </w:pPr>
      <w:r>
        <w:t>Captura y mercados de carbono</w:t>
      </w:r>
      <w:r w:rsidR="009D7267">
        <w:t>.</w:t>
      </w:r>
    </w:p>
    <w:p w:rsidR="00A11B2C" w:rsidRDefault="00921E80" w:rsidP="00A11B2C">
      <w:pPr>
        <w:pStyle w:val="Ttulo1"/>
      </w:pPr>
      <w:bookmarkStart w:id="7" w:name="_Toc335491246"/>
      <w:r>
        <w:t>Alineación de programas y proyectos</w:t>
      </w:r>
      <w:bookmarkEnd w:id="7"/>
    </w:p>
    <w:p w:rsidR="003931F4" w:rsidRDefault="002D489E" w:rsidP="002D489E">
      <w:r>
        <w:t xml:space="preserve">El plan director </w:t>
      </w:r>
      <w:r w:rsidR="006204F4">
        <w:t>CBM-2020</w:t>
      </w:r>
      <w:r>
        <w:t xml:space="preserve">  </w:t>
      </w:r>
      <w:r w:rsidR="00BE3AAF">
        <w:t>promueve</w:t>
      </w:r>
      <w:r>
        <w:t xml:space="preserve"> la acción </w:t>
      </w:r>
      <w:r w:rsidR="003931F4">
        <w:t xml:space="preserve">conjunta de </w:t>
      </w:r>
      <w:r w:rsidR="003931F4" w:rsidRPr="00270581">
        <w:t>organizaciones e i</w:t>
      </w:r>
      <w:r w:rsidR="003931F4" w:rsidRPr="00A20347">
        <w:t>n</w:t>
      </w:r>
      <w:r w:rsidR="003931F4" w:rsidRPr="00270581">
        <w:t>stituciones</w:t>
      </w:r>
      <w:r w:rsidR="003931F4">
        <w:t xml:space="preserve"> </w:t>
      </w:r>
      <w:r>
        <w:t>para cumplir objetivos de desarrollo y obtener bienes públicos, mediante programas</w:t>
      </w:r>
      <w:r w:rsidR="005320BA">
        <w:t xml:space="preserve"> y</w:t>
      </w:r>
      <w:r>
        <w:t xml:space="preserve"> proyectos </w:t>
      </w:r>
      <w:r w:rsidR="006204F4">
        <w:t>de escala local</w:t>
      </w:r>
      <w:r w:rsidR="00A44D7D">
        <w:t>,</w:t>
      </w:r>
      <w:r w:rsidR="006204F4">
        <w:t xml:space="preserve"> zonal</w:t>
      </w:r>
      <w:r w:rsidR="00A44D7D">
        <w:t>,</w:t>
      </w:r>
      <w:r w:rsidR="006204F4">
        <w:t xml:space="preserve"> nacional</w:t>
      </w:r>
      <w:r w:rsidR="00A44D7D">
        <w:t xml:space="preserve"> o</w:t>
      </w:r>
      <w:r w:rsidR="006204F4">
        <w:t xml:space="preserve"> regional</w:t>
      </w:r>
      <w:r w:rsidR="003931F4">
        <w:t>.</w:t>
      </w:r>
    </w:p>
    <w:p w:rsidR="007C224E" w:rsidRDefault="007C224E" w:rsidP="007C224E">
      <w:r>
        <w:t xml:space="preserve">La interacción de actores debe </w:t>
      </w:r>
      <w:r w:rsidRPr="007C224E">
        <w:t>c</w:t>
      </w:r>
      <w:r>
        <w:t xml:space="preserve">onsiderar y respetar las diferencias entre ellos, y podrá generar sinergia si potencia </w:t>
      </w:r>
      <w:r w:rsidR="00A44D7D">
        <w:t xml:space="preserve">sus </w:t>
      </w:r>
      <w:r>
        <w:t xml:space="preserve">fortalezas y oportunidades, y minimiza </w:t>
      </w:r>
      <w:r w:rsidR="00A44D7D">
        <w:t xml:space="preserve">sus </w:t>
      </w:r>
      <w:r>
        <w:t>debilidades y restricciones.</w:t>
      </w:r>
    </w:p>
    <w:p w:rsidR="00F23348" w:rsidRDefault="00F23348" w:rsidP="00F23348">
      <w:r>
        <w:lastRenderedPageBreak/>
        <w:t xml:space="preserve">La </w:t>
      </w:r>
      <w:r w:rsidRPr="00F23348">
        <w:t>interacción</w:t>
      </w:r>
      <w:r>
        <w:t xml:space="preserve"> de actores puede tener diversas modalidades:</w:t>
      </w:r>
    </w:p>
    <w:p w:rsidR="00F23348" w:rsidRPr="00A20347" w:rsidRDefault="00F23348" w:rsidP="00F23348">
      <w:pPr>
        <w:pStyle w:val="Prrafodelista"/>
        <w:numPr>
          <w:ilvl w:val="0"/>
          <w:numId w:val="2"/>
        </w:numPr>
        <w:spacing w:after="120" w:line="240" w:lineRule="auto"/>
        <w:contextualSpacing w:val="0"/>
        <w:rPr>
          <w:b/>
          <w:i/>
        </w:rPr>
      </w:pPr>
      <w:r w:rsidRPr="00A20347">
        <w:rPr>
          <w:b/>
          <w:i/>
        </w:rPr>
        <w:t>Armonización</w:t>
      </w:r>
      <w:r w:rsidRPr="00270581">
        <w:t>: organizaciones e instituciones comparten objetivos, criterios o métodos en sus respectivos planes, programas y proyectos.</w:t>
      </w:r>
    </w:p>
    <w:p w:rsidR="00F23348" w:rsidRPr="00270581" w:rsidRDefault="00F23348" w:rsidP="00F23348">
      <w:pPr>
        <w:pStyle w:val="Prrafodelista"/>
        <w:numPr>
          <w:ilvl w:val="0"/>
          <w:numId w:val="2"/>
        </w:numPr>
        <w:spacing w:after="120" w:line="240" w:lineRule="auto"/>
        <w:contextualSpacing w:val="0"/>
      </w:pPr>
      <w:r w:rsidRPr="00270581">
        <w:rPr>
          <w:b/>
          <w:i/>
        </w:rPr>
        <w:t>Concurrencia</w:t>
      </w:r>
      <w:r w:rsidRPr="00270581">
        <w:t>: organizaciones e i</w:t>
      </w:r>
      <w:r w:rsidRPr="00A20347">
        <w:t>n</w:t>
      </w:r>
      <w:r w:rsidRPr="00270581">
        <w:t>stituciones impulsan planes, programas y proyectos compartidos, desde sus respectivas estructuras y con sus propios recursos.</w:t>
      </w:r>
    </w:p>
    <w:p w:rsidR="00F23348" w:rsidRDefault="00F23348" w:rsidP="00F23348">
      <w:pPr>
        <w:pStyle w:val="Prrafodelista"/>
        <w:numPr>
          <w:ilvl w:val="0"/>
          <w:numId w:val="2"/>
        </w:numPr>
        <w:spacing w:after="120" w:line="240" w:lineRule="auto"/>
        <w:contextualSpacing w:val="0"/>
      </w:pPr>
      <w:r w:rsidRPr="00E32DF4">
        <w:rPr>
          <w:b/>
          <w:i/>
        </w:rPr>
        <w:t>Cooperación</w:t>
      </w:r>
      <w:r w:rsidRPr="00270581">
        <w:t xml:space="preserve">: organizaciones e </w:t>
      </w:r>
      <w:r w:rsidRPr="00A20347">
        <w:t>instituciones c</w:t>
      </w:r>
      <w:r w:rsidRPr="00270581">
        <w:t>onjuntan recursos para impulsar planes, programas y proyectos comunes.</w:t>
      </w:r>
    </w:p>
    <w:p w:rsidR="00F23348" w:rsidRDefault="00F23348" w:rsidP="002D489E"/>
    <w:p w:rsidR="00940607" w:rsidRPr="00940607" w:rsidRDefault="00871613" w:rsidP="003D29D3">
      <w:pPr>
        <w:pStyle w:val="Ttulo1"/>
        <w:pageBreakBefore/>
      </w:pPr>
      <w:bookmarkStart w:id="8" w:name="_Toc335491247"/>
      <w:r w:rsidRPr="00871613">
        <w:lastRenderedPageBreak/>
        <w:t>Enfoque territorial</w:t>
      </w:r>
      <w:bookmarkEnd w:id="8"/>
    </w:p>
    <w:p w:rsidR="00871613" w:rsidRDefault="00AE0D88" w:rsidP="00CB73F8">
      <w:pPr>
        <w:pStyle w:val="Ttulo2"/>
      </w:pPr>
      <w:bookmarkStart w:id="9" w:name="_Toc335491248"/>
      <w:r>
        <w:t>Conceptos</w:t>
      </w:r>
      <w:bookmarkEnd w:id="9"/>
    </w:p>
    <w:p w:rsidR="00FB264E" w:rsidRDefault="00FB264E" w:rsidP="00FB264E">
      <w:pPr>
        <w:pStyle w:val="Ttulo4"/>
      </w:pPr>
      <w:r w:rsidRPr="00FB264E">
        <w:t>Socioecosistema</w:t>
      </w:r>
    </w:p>
    <w:p w:rsidR="00871613" w:rsidRDefault="00FB264E" w:rsidP="00FB264E">
      <w:r>
        <w:t xml:space="preserve">El socioecosistema es un sistema —comunidades humanas que ocupan y se relacionan con un territorio y viceversa— caracterizado por una densa red de interrelaciones entre las dimensiones sociocultural y ecológica, autoorganizados, no lineales y sometidos a la incertidumbre (Folke </w:t>
      </w:r>
      <w:r w:rsidRPr="00FB264E">
        <w:rPr>
          <w:i/>
        </w:rPr>
        <w:t>et al</w:t>
      </w:r>
      <w:r>
        <w:t>., 2002; Holling, 2001). Sin embargo, es conveniente tener en cuenta que los socioecosistemas son unidades de análisis elegidas por el investigador en virtud de un interés especifico (Ostrom, 2009), deben entenderse como sistemas abiertos sólo comprensibles globalmente desde la metáfora de la panarquía (Holling, 2001), en una estructura anidada de sistema de sistemas, con afecciones múltiples a distintas escalas y velocidades (Holling, 2001).</w:t>
      </w:r>
    </w:p>
    <w:p w:rsidR="0078414D" w:rsidRDefault="0078414D" w:rsidP="0078414D">
      <w:pPr>
        <w:pStyle w:val="Ttulo4"/>
      </w:pPr>
      <w:r>
        <w:t>Resiliencia socioecológica</w:t>
      </w:r>
    </w:p>
    <w:p w:rsidR="00B72775" w:rsidRDefault="00B72775" w:rsidP="00B72775">
      <w:r>
        <w:t>La resiliencia de un socioecosistema debe ser entendida como su capacidad para hacer frente a los cambios, no para resistirse a ellos —pues son inevitables—. Se trata, por tanto, de la habilidad de un socioecosistema para absorber creativamente la trasformación sin perder su identidad como tal. Una débil resiliencia da paso a la vulnerabilidad de los socioecosistemas, que verían comprometida su continuidad ante las transformaciones externas o internas que no son capaces de integrar o asimilar.</w:t>
      </w:r>
    </w:p>
    <w:p w:rsidR="005B0C7C" w:rsidRDefault="005B0C7C" w:rsidP="00B72775"/>
    <w:p w:rsidR="0056274F" w:rsidRDefault="0056274F" w:rsidP="00B72775"/>
    <w:p w:rsidR="0056274F" w:rsidRDefault="0056274F" w:rsidP="00B72775"/>
    <w:p w:rsidR="0056274F" w:rsidRDefault="0056274F" w:rsidP="00B72775"/>
    <w:p w:rsidR="0056274F" w:rsidRDefault="0056274F" w:rsidP="00B72775"/>
    <w:p w:rsidR="0056274F" w:rsidRDefault="0056274F" w:rsidP="00B72775"/>
    <w:p w:rsidR="0056274F" w:rsidRDefault="0056274F" w:rsidP="00B72775"/>
    <w:p w:rsidR="0056274F" w:rsidRDefault="0056274F" w:rsidP="00B72775"/>
    <w:p w:rsidR="005B0C7C" w:rsidRDefault="005B0C7C" w:rsidP="00B72775"/>
    <w:p w:rsidR="00A0346B" w:rsidRPr="00FB264E" w:rsidRDefault="00A0346B" w:rsidP="00A0346B">
      <w:pPr>
        <w:pStyle w:val="Ttulo4"/>
        <w:rPr>
          <w:lang w:val="es-ES"/>
        </w:rPr>
      </w:pPr>
      <w:r>
        <w:rPr>
          <w:lang w:val="es-ES"/>
        </w:rPr>
        <w:t>Fuente</w:t>
      </w:r>
    </w:p>
    <w:p w:rsidR="00FB264E" w:rsidRPr="00FB264E" w:rsidRDefault="00FB264E" w:rsidP="00A0346B">
      <w:pPr>
        <w:ind w:left="567" w:hanging="567"/>
      </w:pPr>
      <w:r w:rsidRPr="00FB264E">
        <w:rPr>
          <w:smallCaps/>
          <w:lang w:val="es-ES"/>
        </w:rPr>
        <w:t>Escalera Reyes</w:t>
      </w:r>
      <w:r>
        <w:t>,</w:t>
      </w:r>
      <w:r w:rsidRPr="00FB264E">
        <w:t xml:space="preserve"> Javier</w:t>
      </w:r>
      <w:r>
        <w:t xml:space="preserve">; </w:t>
      </w:r>
      <w:r w:rsidRPr="00FB264E">
        <w:rPr>
          <w:smallCaps/>
          <w:lang w:val="es-ES"/>
        </w:rPr>
        <w:t>Ruiz Ballesteros,</w:t>
      </w:r>
      <w:r w:rsidRPr="00FB264E">
        <w:t xml:space="preserve"> Esteban</w:t>
      </w:r>
      <w:r>
        <w:t xml:space="preserve">. 2011. </w:t>
      </w:r>
      <w:r w:rsidR="00A0346B">
        <w:t>“</w:t>
      </w:r>
      <w:r w:rsidR="00A0346B" w:rsidRPr="00FB264E">
        <w:t>Resiliencia Socioecológica:</w:t>
      </w:r>
      <w:r w:rsidR="00A0346B">
        <w:t xml:space="preserve"> </w:t>
      </w:r>
      <w:r w:rsidR="00A0346B" w:rsidRPr="00FB264E">
        <w:t xml:space="preserve">aportaciones y retos desde la </w:t>
      </w:r>
      <w:r w:rsidR="00A0346B" w:rsidRPr="003660BA">
        <w:rPr>
          <w:lang w:val="es-ES"/>
        </w:rPr>
        <w:t>Antropología</w:t>
      </w:r>
      <w:r w:rsidR="00A0346B">
        <w:t xml:space="preserve">”. </w:t>
      </w:r>
      <w:r w:rsidRPr="00A0346B">
        <w:rPr>
          <w:i/>
        </w:rPr>
        <w:t>Revista de Antropología Social</w:t>
      </w:r>
      <w:r w:rsidR="00B72775">
        <w:t xml:space="preserve"> </w:t>
      </w:r>
      <w:r>
        <w:t>20</w:t>
      </w:r>
      <w:r w:rsidR="00A0346B">
        <w:t>:</w:t>
      </w:r>
      <w:r>
        <w:t xml:space="preserve"> 109-135</w:t>
      </w:r>
      <w:r w:rsidR="00A0346B">
        <w:t>.</w:t>
      </w:r>
    </w:p>
    <w:p w:rsidR="00A0346B" w:rsidRPr="00FB264E" w:rsidRDefault="00A0346B" w:rsidP="00A0346B">
      <w:pPr>
        <w:pStyle w:val="Ttulo4"/>
        <w:rPr>
          <w:lang w:val="es-ES"/>
        </w:rPr>
      </w:pPr>
      <w:r w:rsidRPr="00FB264E">
        <w:rPr>
          <w:lang w:val="es-ES"/>
        </w:rPr>
        <w:t>Referencias</w:t>
      </w:r>
    </w:p>
    <w:p w:rsidR="00FB264E" w:rsidRDefault="00FB264E" w:rsidP="00FB264E">
      <w:pPr>
        <w:ind w:left="567" w:hanging="567"/>
        <w:rPr>
          <w:lang w:val="en-US"/>
        </w:rPr>
      </w:pPr>
      <w:r w:rsidRPr="00A0346B">
        <w:rPr>
          <w:smallCaps/>
          <w:lang w:val="es-ES"/>
        </w:rPr>
        <w:t>Folke</w:t>
      </w:r>
      <w:r w:rsidRPr="00A0346B">
        <w:rPr>
          <w:lang w:val="es-ES"/>
        </w:rPr>
        <w:t xml:space="preserve">, Carl; </w:t>
      </w:r>
      <w:r w:rsidRPr="00A0346B">
        <w:rPr>
          <w:smallCaps/>
          <w:lang w:val="es-ES"/>
        </w:rPr>
        <w:t>Carpenter</w:t>
      </w:r>
      <w:r w:rsidRPr="00A0346B">
        <w:rPr>
          <w:lang w:val="es-ES"/>
        </w:rPr>
        <w:t xml:space="preserve">, Steve; </w:t>
      </w:r>
      <w:r w:rsidRPr="00A0346B">
        <w:rPr>
          <w:smallCaps/>
          <w:lang w:val="es-ES"/>
        </w:rPr>
        <w:t>Elmquist</w:t>
      </w:r>
      <w:r w:rsidRPr="00A0346B">
        <w:rPr>
          <w:lang w:val="es-ES"/>
        </w:rPr>
        <w:t xml:space="preserve">, Thomas; </w:t>
      </w:r>
      <w:r w:rsidRPr="00A0346B">
        <w:rPr>
          <w:i/>
          <w:lang w:val="es-ES"/>
        </w:rPr>
        <w:t>et alt</w:t>
      </w:r>
      <w:r w:rsidRPr="00A0346B">
        <w:rPr>
          <w:lang w:val="es-ES"/>
        </w:rPr>
        <w:t xml:space="preserve">. 2002. </w:t>
      </w:r>
      <w:r w:rsidRPr="00FB264E">
        <w:rPr>
          <w:lang w:val="en-US"/>
        </w:rPr>
        <w:t>“Resilience and sustainable development: building adaptative capacity in a world of</w:t>
      </w:r>
      <w:r>
        <w:rPr>
          <w:lang w:val="en-US"/>
        </w:rPr>
        <w:t xml:space="preserve"> </w:t>
      </w:r>
      <w:r w:rsidRPr="00FB264E">
        <w:rPr>
          <w:lang w:val="en-US"/>
        </w:rPr>
        <w:t xml:space="preserve">transformations”. </w:t>
      </w:r>
      <w:r w:rsidRPr="00FB264E">
        <w:rPr>
          <w:i/>
          <w:lang w:val="en-US"/>
        </w:rPr>
        <w:t>Ambio</w:t>
      </w:r>
      <w:r w:rsidRPr="00FB264E">
        <w:rPr>
          <w:lang w:val="en-US"/>
        </w:rPr>
        <w:t xml:space="preserve"> 312, 5: 437-440.</w:t>
      </w:r>
    </w:p>
    <w:p w:rsidR="00FB264E" w:rsidRDefault="00FB264E" w:rsidP="00FB264E">
      <w:pPr>
        <w:ind w:left="567" w:hanging="567"/>
        <w:rPr>
          <w:lang w:val="en-US"/>
        </w:rPr>
      </w:pPr>
      <w:r w:rsidRPr="00FB264E">
        <w:rPr>
          <w:smallCaps/>
          <w:lang w:val="en-US"/>
        </w:rPr>
        <w:t>Holling</w:t>
      </w:r>
      <w:r w:rsidRPr="00FB264E">
        <w:rPr>
          <w:lang w:val="en-US"/>
        </w:rPr>
        <w:t>, Crawford Staley</w:t>
      </w:r>
      <w:r>
        <w:rPr>
          <w:lang w:val="en-US"/>
        </w:rPr>
        <w:t xml:space="preserve">. </w:t>
      </w:r>
      <w:r w:rsidRPr="00FB264E">
        <w:rPr>
          <w:lang w:val="en-US"/>
        </w:rPr>
        <w:t>2001</w:t>
      </w:r>
      <w:r>
        <w:rPr>
          <w:lang w:val="en-US"/>
        </w:rPr>
        <w:t>.</w:t>
      </w:r>
      <w:r w:rsidRPr="00FB264E">
        <w:rPr>
          <w:lang w:val="en-US"/>
        </w:rPr>
        <w:t xml:space="preserve"> “Understanding the complexity of economic, ecological and social systems”.</w:t>
      </w:r>
      <w:r>
        <w:rPr>
          <w:lang w:val="en-US"/>
        </w:rPr>
        <w:t xml:space="preserve"> </w:t>
      </w:r>
      <w:r w:rsidRPr="00FB264E">
        <w:rPr>
          <w:i/>
          <w:lang w:val="en-US"/>
        </w:rPr>
        <w:t>Ecosystems</w:t>
      </w:r>
      <w:r w:rsidRPr="00FB264E">
        <w:rPr>
          <w:lang w:val="en-US"/>
        </w:rPr>
        <w:t>, 4: 390-405.</w:t>
      </w:r>
    </w:p>
    <w:p w:rsidR="0030455D" w:rsidRPr="0056274F" w:rsidRDefault="00FB264E" w:rsidP="0056274F">
      <w:pPr>
        <w:ind w:left="567" w:hanging="567"/>
        <w:rPr>
          <w:lang w:val="en-US"/>
        </w:rPr>
      </w:pPr>
      <w:r w:rsidRPr="00FB264E">
        <w:rPr>
          <w:smallCaps/>
          <w:lang w:val="en-US"/>
        </w:rPr>
        <w:t>Ostrom</w:t>
      </w:r>
      <w:r w:rsidRPr="00FB264E">
        <w:rPr>
          <w:lang w:val="en-US"/>
        </w:rPr>
        <w:t>, Elinor</w:t>
      </w:r>
      <w:r>
        <w:rPr>
          <w:lang w:val="en-US"/>
        </w:rPr>
        <w:t xml:space="preserve">. </w:t>
      </w:r>
      <w:r w:rsidRPr="00FB264E">
        <w:rPr>
          <w:lang w:val="en-US"/>
        </w:rPr>
        <w:t>2009</w:t>
      </w:r>
      <w:r>
        <w:rPr>
          <w:lang w:val="en-US"/>
        </w:rPr>
        <w:t>.</w:t>
      </w:r>
      <w:r w:rsidRPr="00FB264E">
        <w:rPr>
          <w:lang w:val="en-US"/>
        </w:rPr>
        <w:t xml:space="preserve"> “A general framework for analyzing sustainability of socio-ecological systems”.</w:t>
      </w:r>
      <w:r>
        <w:rPr>
          <w:lang w:val="en-US"/>
        </w:rPr>
        <w:t xml:space="preserve"> </w:t>
      </w:r>
      <w:r w:rsidRPr="00FB264E">
        <w:rPr>
          <w:i/>
          <w:lang w:val="en-US"/>
        </w:rPr>
        <w:t>Science</w:t>
      </w:r>
      <w:r w:rsidRPr="00FB264E">
        <w:rPr>
          <w:lang w:val="en-US"/>
        </w:rPr>
        <w:t>, 325: 419-422.</w:t>
      </w:r>
    </w:p>
    <w:p w:rsidR="00FC66E7" w:rsidRPr="00B27AEF" w:rsidRDefault="00871613" w:rsidP="00CB73F8">
      <w:pPr>
        <w:pStyle w:val="Ttulo2"/>
      </w:pPr>
      <w:bookmarkStart w:id="10" w:name="_Toc335491249"/>
      <w:r w:rsidRPr="00B27AEF">
        <w:lastRenderedPageBreak/>
        <w:t>Postulados</w:t>
      </w:r>
      <w:r w:rsidR="00B27AEF" w:rsidRPr="00B27AEF">
        <w:t xml:space="preserve"> y consideraciones</w:t>
      </w:r>
      <w:bookmarkEnd w:id="10"/>
    </w:p>
    <w:p w:rsidR="00C21E82" w:rsidRDefault="00C21E82" w:rsidP="00C21E82">
      <w:pPr>
        <w:pStyle w:val="Prrafodelista"/>
        <w:numPr>
          <w:ilvl w:val="0"/>
          <w:numId w:val="2"/>
        </w:numPr>
        <w:spacing w:after="120" w:line="240" w:lineRule="auto"/>
        <w:ind w:left="357" w:hanging="357"/>
        <w:contextualSpacing w:val="0"/>
      </w:pPr>
      <w:r>
        <w:t>Mantener la funcionalidad socioecosistémica del CBM es</w:t>
      </w:r>
      <w:r w:rsidRPr="00B61033">
        <w:t xml:space="preserve"> </w:t>
      </w:r>
      <w:r>
        <w:t>indispensable para la funcionalidad socioecosistémica de Mesoamérica</w:t>
      </w:r>
      <w:r>
        <w:rPr>
          <w:rStyle w:val="Refdenotaalpie"/>
        </w:rPr>
        <w:footnoteReference w:id="3"/>
      </w:r>
      <w:r>
        <w:t xml:space="preserve"> y la viabilidad de su desarrollo.</w:t>
      </w:r>
    </w:p>
    <w:p w:rsidR="002320D2" w:rsidRDefault="00FC66E7" w:rsidP="003111A2">
      <w:pPr>
        <w:pStyle w:val="Prrafodelista"/>
        <w:numPr>
          <w:ilvl w:val="0"/>
          <w:numId w:val="2"/>
        </w:numPr>
        <w:spacing w:after="120" w:line="240" w:lineRule="auto"/>
        <w:ind w:left="357" w:hanging="357"/>
        <w:contextualSpacing w:val="0"/>
      </w:pPr>
      <w:r>
        <w:t>E</w:t>
      </w:r>
      <w:r w:rsidR="00B358D7">
        <w:t>n Mesoamérica</w:t>
      </w:r>
      <w:r w:rsidR="00940607">
        <w:t>,</w:t>
      </w:r>
      <w:r w:rsidR="00B358D7">
        <w:t xml:space="preserve"> l</w:t>
      </w:r>
      <w:r w:rsidR="00B358D7" w:rsidRPr="00B358D7">
        <w:t>a pobreza</w:t>
      </w:r>
      <w:r w:rsidR="00B358D7">
        <w:t xml:space="preserve">, la </w:t>
      </w:r>
      <w:r w:rsidR="00B358D7" w:rsidRPr="00B358D7">
        <w:t>vulnerabilidad</w:t>
      </w:r>
      <w:r w:rsidR="00B358D7">
        <w:t xml:space="preserve"> ante el cambio climático y la</w:t>
      </w:r>
      <w:r w:rsidR="00B358D7" w:rsidRPr="00B358D7">
        <w:t xml:space="preserve"> pérdida de diversidad biológica</w:t>
      </w:r>
      <w:r w:rsidR="00B358D7">
        <w:t xml:space="preserve"> son tres retos urgentes del desarrollo</w:t>
      </w:r>
      <w:r w:rsidR="00940607">
        <w:t xml:space="preserve"> en la década 2011-2020.</w:t>
      </w:r>
    </w:p>
    <w:p w:rsidR="00FE3D84" w:rsidRDefault="002320D2" w:rsidP="003111A2">
      <w:pPr>
        <w:pStyle w:val="Prrafodelista"/>
        <w:numPr>
          <w:ilvl w:val="0"/>
          <w:numId w:val="2"/>
        </w:numPr>
        <w:spacing w:after="120" w:line="240" w:lineRule="auto"/>
        <w:ind w:left="357" w:hanging="357"/>
        <w:contextualSpacing w:val="0"/>
      </w:pPr>
      <w:r>
        <w:t>A</w:t>
      </w:r>
      <w:r w:rsidR="002C22A7">
        <w:t>tender</w:t>
      </w:r>
      <w:r>
        <w:t xml:space="preserve"> est</w:t>
      </w:r>
      <w:r w:rsidR="00FE3D84">
        <w:t xml:space="preserve">os </w:t>
      </w:r>
      <w:r>
        <w:t xml:space="preserve">retos </w:t>
      </w:r>
      <w:r w:rsidR="00A32D37">
        <w:t xml:space="preserve">exige una visión </w:t>
      </w:r>
      <w:r w:rsidR="00A32D37" w:rsidRPr="00A32D37">
        <w:t xml:space="preserve">territorial </w:t>
      </w:r>
      <w:r w:rsidR="002C22A7">
        <w:t>que ab</w:t>
      </w:r>
      <w:r w:rsidR="004332D3">
        <w:t>arque</w:t>
      </w:r>
      <w:r w:rsidR="002C22A7">
        <w:t xml:space="preserve"> los aspectos biofísicos y los socioculturales</w:t>
      </w:r>
      <w:r w:rsidR="000F37D7">
        <w:t xml:space="preserve">, y </w:t>
      </w:r>
      <w:r w:rsidR="00EF4344">
        <w:t>que considere a</w:t>
      </w:r>
      <w:r w:rsidR="00EF4344" w:rsidRPr="00EF4344">
        <w:t xml:space="preserve">l territorio </w:t>
      </w:r>
      <w:r w:rsidR="00EF4344">
        <w:t>como</w:t>
      </w:r>
      <w:r w:rsidR="00EF4344" w:rsidRPr="00EF4344">
        <w:t xml:space="preserve"> un producto social e histórico con una determinada base de recursos naturales, ciertas formas de producción, consumo e intercambio, y una red de instituciones y formas de organización que le dan cohesión</w:t>
      </w:r>
      <w:r w:rsidR="00EF4344">
        <w:t>.</w:t>
      </w:r>
    </w:p>
    <w:p w:rsidR="001F1D2E" w:rsidRDefault="001F1D2E" w:rsidP="001F1D2E">
      <w:pPr>
        <w:pStyle w:val="Prrafodelista"/>
        <w:numPr>
          <w:ilvl w:val="0"/>
          <w:numId w:val="2"/>
        </w:numPr>
        <w:spacing w:after="120" w:line="240" w:lineRule="auto"/>
        <w:ind w:left="357" w:hanging="357"/>
        <w:contextualSpacing w:val="0"/>
      </w:pPr>
      <w:r>
        <w:t>El Corredor Biológico Mesoamericano (CBM), conformado por áreas, paisajes y zonas de conectividad con alto valor de provisión de servicios ecosistémicos</w:t>
      </w:r>
      <w:r>
        <w:rPr>
          <w:rStyle w:val="Refdenotaalpie"/>
        </w:rPr>
        <w:footnoteReference w:id="4"/>
      </w:r>
      <w:r>
        <w:t xml:space="preserve"> del Darién a Oaxaca, cumple una función insustituible para Mesoamérica.</w:t>
      </w:r>
    </w:p>
    <w:p w:rsidR="00BB1938" w:rsidRDefault="00BB1938" w:rsidP="003111A2">
      <w:pPr>
        <w:pStyle w:val="Prrafodelista"/>
        <w:numPr>
          <w:ilvl w:val="0"/>
          <w:numId w:val="2"/>
        </w:numPr>
        <w:spacing w:after="120" w:line="240" w:lineRule="auto"/>
        <w:ind w:left="357" w:hanging="357"/>
        <w:contextualSpacing w:val="0"/>
      </w:pPr>
      <w:r>
        <w:t>L</w:t>
      </w:r>
      <w:r w:rsidRPr="00BB1938">
        <w:t>os grandes activos ambientales de Mesoamérica solamente pueden ser conservados conjuntamente por los países que los comparten</w:t>
      </w:r>
      <w:r>
        <w:t>.</w:t>
      </w:r>
    </w:p>
    <w:p w:rsidR="00BB1938" w:rsidRPr="00D10DDB" w:rsidRDefault="00BB1938" w:rsidP="003111A2">
      <w:pPr>
        <w:pStyle w:val="Prrafodelista"/>
        <w:numPr>
          <w:ilvl w:val="0"/>
          <w:numId w:val="2"/>
        </w:numPr>
        <w:spacing w:after="120" w:line="240" w:lineRule="auto"/>
        <w:ind w:left="357" w:hanging="357"/>
        <w:contextualSpacing w:val="0"/>
      </w:pPr>
      <w:r>
        <w:t>E</w:t>
      </w:r>
      <w:r w:rsidRPr="00BB1938">
        <w:t xml:space="preserve">l uso ordenado del territorio es la única manera socialmente viable de conservar la </w:t>
      </w:r>
      <w:r>
        <w:t>funcionalidad socioecosistémica</w:t>
      </w:r>
      <w:r w:rsidRPr="00BB1938">
        <w:t>, pues la presión social por el uso de los recursos está entre las causas raíz del deterioro ambiental.</w:t>
      </w:r>
    </w:p>
    <w:p w:rsidR="00AA2947" w:rsidRDefault="00BE2904" w:rsidP="003111A2">
      <w:pPr>
        <w:pStyle w:val="Prrafodelista"/>
        <w:numPr>
          <w:ilvl w:val="0"/>
          <w:numId w:val="2"/>
        </w:numPr>
        <w:spacing w:after="120" w:line="240" w:lineRule="auto"/>
        <w:ind w:left="357" w:hanging="357"/>
        <w:contextualSpacing w:val="0"/>
      </w:pPr>
      <w:r>
        <w:t xml:space="preserve">Impulsar una política de gestión territorial sostenible es la mejor alternativa para contribuir a </w:t>
      </w:r>
      <w:r w:rsidR="00D302A8">
        <w:t xml:space="preserve">la resiliencia socioecológica </w:t>
      </w:r>
      <w:r>
        <w:t>del CBM</w:t>
      </w:r>
      <w:r w:rsidR="00D302A8">
        <w:t xml:space="preserve"> y</w:t>
      </w:r>
      <w:r w:rsidR="00D302A8" w:rsidRPr="00D302A8">
        <w:t xml:space="preserve"> </w:t>
      </w:r>
      <w:r w:rsidR="00D302A8">
        <w:t>mantener su funcionalidad socioecosistémica.</w:t>
      </w:r>
    </w:p>
    <w:p w:rsidR="00FB264E" w:rsidRPr="00D302A8" w:rsidRDefault="00FB264E" w:rsidP="00FB264E">
      <w:pPr>
        <w:ind w:left="567" w:hanging="567"/>
        <w:rPr>
          <w:lang w:val="es-ES"/>
        </w:rPr>
      </w:pPr>
    </w:p>
    <w:p w:rsidR="00FB264E" w:rsidRPr="00D302A8" w:rsidRDefault="00FB264E" w:rsidP="00FB264E">
      <w:pPr>
        <w:rPr>
          <w:lang w:val="es-ES"/>
        </w:rPr>
      </w:pPr>
    </w:p>
    <w:p w:rsidR="00BF7E33" w:rsidRDefault="00346BC0" w:rsidP="003D29D3">
      <w:pPr>
        <w:pStyle w:val="Ttulo1"/>
        <w:pageBreakBefore/>
      </w:pPr>
      <w:bookmarkStart w:id="11" w:name="_Toc335491250"/>
      <w:r>
        <w:lastRenderedPageBreak/>
        <w:t xml:space="preserve">Enfoque </w:t>
      </w:r>
      <w:r w:rsidR="00A31B98">
        <w:t xml:space="preserve">transectorial y </w:t>
      </w:r>
      <w:r w:rsidR="00F429B7">
        <w:t>multiactores</w:t>
      </w:r>
      <w:bookmarkEnd w:id="11"/>
    </w:p>
    <w:p w:rsidR="00BB4668" w:rsidRDefault="00BB4668" w:rsidP="00BB4668">
      <w:pPr>
        <w:pStyle w:val="Ttulo2"/>
      </w:pPr>
      <w:bookmarkStart w:id="12" w:name="_Toc335491251"/>
      <w:r>
        <w:t>Conceptos</w:t>
      </w:r>
      <w:bookmarkEnd w:id="12"/>
    </w:p>
    <w:p w:rsidR="003D71F1" w:rsidRDefault="003D71F1" w:rsidP="003D71F1">
      <w:pPr>
        <w:pStyle w:val="Ttulo4"/>
      </w:pPr>
      <w:r>
        <w:t>Participación</w:t>
      </w:r>
    </w:p>
    <w:p w:rsidR="00871613" w:rsidRDefault="003D09B0" w:rsidP="003D71F1">
      <w:r>
        <w:t>“</w:t>
      </w:r>
      <w:r w:rsidR="00907F9D" w:rsidRPr="00907F9D">
        <w:t>Recalcamos que la participación amplia del público y el acceso a la información y los procedimientos judiciales y administrativos son esenciales para promover el desarrollo sostenible. El desarrollo sostenible requiere la implicación productiva y la participación activa de las autoridades legislativas y judiciales regionales, nacionales y subnacionales, y todos los grupos principales: mujeres, niños y jóvenes, pueblos indígenas, organizaciones no gubernamentales, autoridades locales, trabajadores y sindicatos, empresas e industria, comunidad científica y tecnológica y agricultores, además de otros interesados como las comunidades locales, los grupos de voluntarios y las fundaciones, los migrantes, las familias, las personas de edad y las personas con discapacidad. A este respecto, convenimos en trabajar más estrechamente con los grupos principales y otros interesados y alentar su participación activa, según proceda, en procesos que contribuyan a la adopción de decisiones, la planificación y la aplicación de políticas y programas que fomenten el desarrollo sostenible a todos los niveles</w:t>
      </w:r>
      <w:r>
        <w:t>”</w:t>
      </w:r>
      <w:r w:rsidR="00907F9D">
        <w:t xml:space="preserve"> (</w:t>
      </w:r>
      <w:r w:rsidR="00907F9D" w:rsidRPr="006F2318">
        <w:rPr>
          <w:i/>
        </w:rPr>
        <w:t>El futuro que queremos</w:t>
      </w:r>
      <w:r w:rsidR="006F2318">
        <w:t>.</w:t>
      </w:r>
      <w:r w:rsidR="00907F9D" w:rsidRPr="00907F9D">
        <w:t xml:space="preserve"> </w:t>
      </w:r>
      <w:r w:rsidR="006F2318" w:rsidRPr="00907F9D">
        <w:t xml:space="preserve">Documento </w:t>
      </w:r>
      <w:r w:rsidR="00907F9D" w:rsidRPr="00907F9D">
        <w:t>final aprobado en Río+ 2</w:t>
      </w:r>
      <w:r w:rsidR="00907F9D">
        <w:t>0</w:t>
      </w:r>
      <w:r w:rsidR="000454C2">
        <w:t>, párrafo 43, 2012</w:t>
      </w:r>
      <w:r w:rsidR="00907F9D">
        <w:t>).</w:t>
      </w:r>
    </w:p>
    <w:p w:rsidR="00B27AEF" w:rsidRPr="00B27AEF" w:rsidRDefault="00B27AEF" w:rsidP="00B27AEF">
      <w:pPr>
        <w:pStyle w:val="Ttulo2"/>
      </w:pPr>
      <w:bookmarkStart w:id="13" w:name="_Toc335491252"/>
      <w:r w:rsidRPr="00B27AEF">
        <w:t>Postulados y consideraciones</w:t>
      </w:r>
      <w:bookmarkEnd w:id="13"/>
    </w:p>
    <w:p w:rsidR="001F1D2E" w:rsidRDefault="001F1D2E" w:rsidP="001F1D2E">
      <w:pPr>
        <w:pStyle w:val="Prrafodelista"/>
        <w:numPr>
          <w:ilvl w:val="0"/>
          <w:numId w:val="2"/>
        </w:numPr>
        <w:spacing w:after="120" w:line="240" w:lineRule="auto"/>
        <w:ind w:left="357" w:hanging="357"/>
        <w:contextualSpacing w:val="0"/>
      </w:pPr>
      <w:r>
        <w:t xml:space="preserve">Las tendencias de cambio en el territorio </w:t>
      </w:r>
      <w:r>
        <w:rPr>
          <w:rFonts w:ascii="Courier New" w:hAnsi="Courier New" w:cs="Courier New"/>
        </w:rPr>
        <w:t>—</w:t>
      </w:r>
      <w:r>
        <w:t>al menos las que tienen causas antrópicas— son resultado de las acciones y las decisiones (o la inacción) de muchos actores colectivos (</w:t>
      </w:r>
      <w:r w:rsidRPr="006A61AA">
        <w:t>instituciones y organizaciones</w:t>
      </w:r>
      <w:r>
        <w:t>), y son factores determinantes en el mantenimiento o el deterioro de la funcionalidad socioecosistémica.</w:t>
      </w:r>
    </w:p>
    <w:p w:rsidR="00CC5B44" w:rsidRDefault="00CC5B44" w:rsidP="00CC5B44">
      <w:pPr>
        <w:pStyle w:val="Prrafodelista"/>
        <w:numPr>
          <w:ilvl w:val="0"/>
          <w:numId w:val="2"/>
        </w:numPr>
        <w:spacing w:after="120" w:line="240" w:lineRule="auto"/>
        <w:ind w:left="357" w:hanging="357"/>
        <w:contextualSpacing w:val="0"/>
      </w:pPr>
      <w:r>
        <w:t>Ningún actor o grupo de actores de una sola esfera o sector puede por sí solo impulsar con éxito una política de g</w:t>
      </w:r>
      <w:r w:rsidRPr="00F23FDA">
        <w:t xml:space="preserve">estión territorial sostenible en el </w:t>
      </w:r>
      <w:r>
        <w:t>CBM.</w:t>
      </w:r>
    </w:p>
    <w:p w:rsidR="00F23348" w:rsidRDefault="00F23348" w:rsidP="00F23348">
      <w:pPr>
        <w:pStyle w:val="Prrafodelista"/>
        <w:numPr>
          <w:ilvl w:val="0"/>
          <w:numId w:val="2"/>
        </w:numPr>
        <w:spacing w:after="120" w:line="240" w:lineRule="auto"/>
        <w:ind w:left="357" w:hanging="357"/>
        <w:contextualSpacing w:val="0"/>
      </w:pPr>
      <w:r>
        <w:t xml:space="preserve">A las instituciones de los gobiernos nacionales les corresponde por mandato cumplir un papel </w:t>
      </w:r>
      <w:r w:rsidR="007C224E">
        <w:t xml:space="preserve">clave como </w:t>
      </w:r>
      <w:r>
        <w:t>impulsor</w:t>
      </w:r>
      <w:r w:rsidR="007C224E">
        <w:t>as</w:t>
      </w:r>
      <w:r>
        <w:t xml:space="preserve"> </w:t>
      </w:r>
      <w:r w:rsidR="007C224E">
        <w:t>d</w:t>
      </w:r>
      <w:r>
        <w:t>el esfuerzo de gestión territorial.</w:t>
      </w:r>
      <w:r w:rsidR="00B27AEF">
        <w:t xml:space="preserve"> Por su naturaleza, son quienes pueden posicionarlo en los marcos normativo y programático de las políticas públicas</w:t>
      </w:r>
      <w:r w:rsidR="00CC5B44">
        <w:t>; n</w:t>
      </w:r>
      <w:r w:rsidR="00B27AEF">
        <w:t xml:space="preserve">o obstante, </w:t>
      </w:r>
      <w:r w:rsidR="007C224E">
        <w:t>tienen</w:t>
      </w:r>
      <w:r w:rsidR="00B27AEF">
        <w:t xml:space="preserve"> </w:t>
      </w:r>
      <w:r w:rsidR="00CC5B44">
        <w:t xml:space="preserve">ciertas </w:t>
      </w:r>
      <w:r w:rsidR="00B27AEF">
        <w:t>restricciones</w:t>
      </w:r>
      <w:r w:rsidR="007C224E">
        <w:t>,</w:t>
      </w:r>
      <w:r w:rsidR="00B27AEF">
        <w:t xml:space="preserve"> pues su jurisdicción está acotada en lo territorial y lo sectorial, y su operación suele ser complicada, lenta y costosa.</w:t>
      </w:r>
    </w:p>
    <w:p w:rsidR="00A242D4" w:rsidRDefault="00A242D4" w:rsidP="00A242D4">
      <w:pPr>
        <w:pStyle w:val="Prrafodelista"/>
        <w:numPr>
          <w:ilvl w:val="0"/>
          <w:numId w:val="2"/>
        </w:numPr>
        <w:spacing w:after="120" w:line="240" w:lineRule="auto"/>
        <w:ind w:left="357" w:hanging="357"/>
        <w:contextualSpacing w:val="0"/>
      </w:pPr>
      <w:r>
        <w:t>La política de g</w:t>
      </w:r>
      <w:r w:rsidRPr="00F23FDA">
        <w:t xml:space="preserve">estión territorial sostenible en el </w:t>
      </w:r>
      <w:r>
        <w:t xml:space="preserve">CBM debe ser </w:t>
      </w:r>
      <w:r w:rsidRPr="00986B00">
        <w:t>transectorial y</w:t>
      </w:r>
      <w:r>
        <w:t xml:space="preserve"> multiactores; así que debe ser concertada </w:t>
      </w:r>
      <w:r w:rsidRPr="006A61AA">
        <w:t>en el marco de procesos participativos que involucren a instituciones y organizaciones en Belice, Colombia, Costa Rica, El Salvador, Guatemala, Honduras, Nicaragua, México y Panamá</w:t>
      </w:r>
      <w:r>
        <w:t>.</w:t>
      </w:r>
    </w:p>
    <w:p w:rsidR="00EF4344" w:rsidRDefault="00346BC0" w:rsidP="0070146D">
      <w:pPr>
        <w:pStyle w:val="Prrafodelista"/>
        <w:numPr>
          <w:ilvl w:val="0"/>
          <w:numId w:val="2"/>
        </w:numPr>
        <w:spacing w:after="120" w:line="240" w:lineRule="auto"/>
        <w:ind w:left="357" w:hanging="357"/>
        <w:contextualSpacing w:val="0"/>
      </w:pPr>
      <w:r>
        <w:t xml:space="preserve">La </w:t>
      </w:r>
      <w:r w:rsidRPr="00346BC0">
        <w:t xml:space="preserve">gestión territorial sostenible </w:t>
      </w:r>
      <w:r>
        <w:t xml:space="preserve">debe hacer </w:t>
      </w:r>
      <w:r w:rsidRPr="00346BC0">
        <w:t>compatibles la conservación y el uso productivo</w:t>
      </w:r>
      <w:r>
        <w:t>;</w:t>
      </w:r>
      <w:r w:rsidRPr="00346BC0">
        <w:t xml:space="preserve"> </w:t>
      </w:r>
      <w:r>
        <w:t>la gestión pública y la privada;</w:t>
      </w:r>
      <w:r w:rsidRPr="00346BC0">
        <w:t xml:space="preserve"> el conocimiento científico y el tradicional</w:t>
      </w:r>
      <w:r>
        <w:t>;</w:t>
      </w:r>
      <w:r w:rsidRPr="00346BC0">
        <w:t xml:space="preserve"> la toma de decisiones de política pública y la participación ciudadana</w:t>
      </w:r>
      <w:r>
        <w:t>.</w:t>
      </w:r>
    </w:p>
    <w:p w:rsidR="007C224E" w:rsidRDefault="007C224E" w:rsidP="007C224E">
      <w:pPr>
        <w:pStyle w:val="Prrafodelista"/>
        <w:spacing w:after="120" w:line="240" w:lineRule="auto"/>
        <w:ind w:left="357"/>
        <w:contextualSpacing w:val="0"/>
      </w:pPr>
    </w:p>
    <w:p w:rsidR="00D8646C" w:rsidRDefault="00D8646C" w:rsidP="001510B2">
      <w:pPr>
        <w:pStyle w:val="Ttulo3"/>
        <w:sectPr w:rsidR="00D8646C" w:rsidSect="00373947">
          <w:footerReference w:type="default" r:id="rId8"/>
          <w:pgSz w:w="12242" w:h="15842" w:code="120"/>
          <w:pgMar w:top="1418" w:right="1701" w:bottom="1134" w:left="1701" w:header="567" w:footer="567" w:gutter="0"/>
          <w:cols w:space="708"/>
          <w:docGrid w:linePitch="360"/>
        </w:sectPr>
      </w:pPr>
    </w:p>
    <w:p w:rsidR="001510B2" w:rsidRDefault="001510B2" w:rsidP="003155B9">
      <w:pPr>
        <w:pStyle w:val="Ttulo1anexo"/>
      </w:pPr>
      <w:bookmarkStart w:id="14" w:name="_Toc335491253"/>
      <w:r>
        <w:lastRenderedPageBreak/>
        <w:t>A</w:t>
      </w:r>
      <w:r w:rsidR="005320BA">
        <w:t xml:space="preserve">nexo </w:t>
      </w:r>
      <w:r w:rsidR="001468AE">
        <w:t>I</w:t>
      </w:r>
      <w:r w:rsidR="003155B9">
        <w:t xml:space="preserve">. </w:t>
      </w:r>
      <w:r w:rsidR="00373947">
        <w:t>A</w:t>
      </w:r>
      <w:r>
        <w:t xml:space="preserve">ctores </w:t>
      </w:r>
      <w:r w:rsidR="00187821">
        <w:t xml:space="preserve">institucionales y organizaciones </w:t>
      </w:r>
      <w:r>
        <w:t>con incidencia potencial en el CBM</w:t>
      </w:r>
      <w:bookmarkEnd w:id="14"/>
    </w:p>
    <w:p w:rsidR="00906FA3" w:rsidRDefault="00906FA3" w:rsidP="009F1194"/>
    <w:p w:rsidR="00906FA3" w:rsidRDefault="00906FA3" w:rsidP="00906FA3">
      <w:r>
        <w:t xml:space="preserve">Las </w:t>
      </w:r>
      <w:r w:rsidRPr="00001461">
        <w:rPr>
          <w:b/>
          <w:i/>
        </w:rPr>
        <w:t>capacidades</w:t>
      </w:r>
      <w:r>
        <w:t xml:space="preserve"> de los actores son factores determinantes en la eficacia de su interacción.</w:t>
      </w:r>
    </w:p>
    <w:tbl>
      <w:tblPr>
        <w:tblStyle w:val="Tablaconcuadrcula"/>
        <w:tblW w:w="5000" w:type="pct"/>
        <w:tblLook w:val="04A0"/>
      </w:tblPr>
      <w:tblGrid>
        <w:gridCol w:w="2923"/>
        <w:gridCol w:w="2923"/>
        <w:gridCol w:w="2924"/>
        <w:gridCol w:w="2924"/>
        <w:gridCol w:w="2924"/>
      </w:tblGrid>
      <w:tr w:rsidR="00906FA3" w:rsidRPr="00C42D72" w:rsidTr="00E46196">
        <w:tc>
          <w:tcPr>
            <w:tcW w:w="5000" w:type="pct"/>
            <w:gridSpan w:val="5"/>
          </w:tcPr>
          <w:p w:rsidR="00906FA3" w:rsidRPr="0017630D" w:rsidRDefault="00906FA3" w:rsidP="00E46196">
            <w:pPr>
              <w:keepNext/>
              <w:widowControl w:val="0"/>
              <w:spacing w:before="40" w:after="40"/>
              <w:rPr>
                <w:b/>
              </w:rPr>
            </w:pPr>
            <w:r w:rsidRPr="0017630D">
              <w:rPr>
                <w:b/>
              </w:rPr>
              <w:t>Capacidades de los actores</w:t>
            </w:r>
          </w:p>
        </w:tc>
      </w:tr>
      <w:tr w:rsidR="00906FA3" w:rsidRPr="00C42D72" w:rsidTr="00E46196">
        <w:tc>
          <w:tcPr>
            <w:tcW w:w="1000" w:type="pct"/>
            <w:tcBorders>
              <w:bottom w:val="single" w:sz="4" w:space="0" w:color="auto"/>
            </w:tcBorders>
          </w:tcPr>
          <w:p w:rsidR="00906FA3" w:rsidRPr="0017630D" w:rsidRDefault="00906FA3" w:rsidP="00E46196">
            <w:pPr>
              <w:keepNext/>
              <w:widowControl w:val="0"/>
              <w:spacing w:before="40" w:after="40"/>
            </w:pPr>
            <w:r w:rsidRPr="0017630D">
              <w:t>Competencias</w:t>
            </w:r>
            <w:r>
              <w:br/>
            </w:r>
            <w:r w:rsidRPr="0017630D">
              <w:t>(capital humano)</w:t>
            </w:r>
          </w:p>
        </w:tc>
        <w:tc>
          <w:tcPr>
            <w:tcW w:w="1000" w:type="pct"/>
            <w:tcBorders>
              <w:bottom w:val="single" w:sz="4" w:space="0" w:color="auto"/>
            </w:tcBorders>
          </w:tcPr>
          <w:p w:rsidR="00906FA3" w:rsidRPr="0017630D" w:rsidRDefault="00906FA3" w:rsidP="00E46196">
            <w:pPr>
              <w:widowControl w:val="0"/>
              <w:spacing w:before="40" w:after="40"/>
            </w:pPr>
            <w:r w:rsidRPr="0017630D">
              <w:t>Tecnología</w:t>
            </w:r>
            <w:r>
              <w:t xml:space="preserve"> y conocimiento</w:t>
            </w:r>
          </w:p>
        </w:tc>
        <w:tc>
          <w:tcPr>
            <w:tcW w:w="1000" w:type="pct"/>
            <w:tcBorders>
              <w:bottom w:val="single" w:sz="4" w:space="0" w:color="auto"/>
            </w:tcBorders>
          </w:tcPr>
          <w:p w:rsidR="00906FA3" w:rsidRPr="0017630D" w:rsidRDefault="00906FA3" w:rsidP="00E46196">
            <w:pPr>
              <w:widowControl w:val="0"/>
              <w:spacing w:before="40" w:after="40"/>
            </w:pPr>
            <w:r w:rsidRPr="0017630D">
              <w:t>Equipamiento</w:t>
            </w:r>
          </w:p>
        </w:tc>
        <w:tc>
          <w:tcPr>
            <w:tcW w:w="1000" w:type="pct"/>
            <w:tcBorders>
              <w:bottom w:val="single" w:sz="4" w:space="0" w:color="auto"/>
            </w:tcBorders>
          </w:tcPr>
          <w:p w:rsidR="00906FA3" w:rsidRPr="0017630D" w:rsidRDefault="00906FA3" w:rsidP="00E46196">
            <w:pPr>
              <w:widowControl w:val="0"/>
              <w:spacing w:before="40" w:after="40"/>
            </w:pPr>
            <w:r w:rsidRPr="0017630D">
              <w:t>Infraestructura</w:t>
            </w:r>
          </w:p>
        </w:tc>
        <w:tc>
          <w:tcPr>
            <w:tcW w:w="1000" w:type="pct"/>
            <w:tcBorders>
              <w:bottom w:val="single" w:sz="4" w:space="0" w:color="auto"/>
            </w:tcBorders>
          </w:tcPr>
          <w:p w:rsidR="00906FA3" w:rsidRPr="0017630D" w:rsidRDefault="00906FA3" w:rsidP="00E46196">
            <w:pPr>
              <w:widowControl w:val="0"/>
              <w:spacing w:before="40" w:after="40"/>
            </w:pPr>
            <w:r w:rsidRPr="0017630D">
              <w:t>Financiamiento</w:t>
            </w:r>
          </w:p>
        </w:tc>
      </w:tr>
      <w:tr w:rsidR="00906FA3" w:rsidRPr="00AF2419" w:rsidTr="00E46196">
        <w:tc>
          <w:tcPr>
            <w:tcW w:w="1000" w:type="pct"/>
            <w:tcBorders>
              <w:top w:val="single" w:sz="4" w:space="0" w:color="auto"/>
              <w:left w:val="single" w:sz="4" w:space="0" w:color="auto"/>
              <w:bottom w:val="single" w:sz="4" w:space="0" w:color="auto"/>
              <w:right w:val="single" w:sz="4" w:space="0" w:color="auto"/>
            </w:tcBorders>
          </w:tcPr>
          <w:p w:rsidR="00906FA3" w:rsidRPr="00AF2419"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AF2419">
              <w:rPr>
                <w:rFonts w:ascii="Arial Narrow" w:hAnsi="Arial Narrow"/>
                <w:sz w:val="20"/>
                <w:szCs w:val="20"/>
              </w:rPr>
              <w:t>Conocimientos</w:t>
            </w:r>
          </w:p>
          <w:p w:rsidR="00906FA3" w:rsidRPr="00AF2419"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AF2419">
              <w:rPr>
                <w:rFonts w:ascii="Arial Narrow" w:hAnsi="Arial Narrow"/>
                <w:sz w:val="20"/>
                <w:szCs w:val="20"/>
              </w:rPr>
              <w:t>Habilidades</w:t>
            </w:r>
          </w:p>
          <w:p w:rsidR="00906FA3" w:rsidRPr="00AF2419"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AF2419">
              <w:rPr>
                <w:rFonts w:ascii="Arial Narrow" w:hAnsi="Arial Narrow"/>
                <w:sz w:val="20"/>
                <w:szCs w:val="20"/>
              </w:rPr>
              <w:t>Cultura organizacional</w:t>
            </w:r>
          </w:p>
        </w:tc>
        <w:tc>
          <w:tcPr>
            <w:tcW w:w="1000" w:type="pct"/>
            <w:tcBorders>
              <w:top w:val="single" w:sz="4" w:space="0" w:color="auto"/>
              <w:left w:val="single" w:sz="4" w:space="0" w:color="auto"/>
              <w:bottom w:val="single" w:sz="4" w:space="0" w:color="auto"/>
              <w:right w:val="single" w:sz="4" w:space="0" w:color="auto"/>
            </w:tcBorders>
          </w:tcPr>
          <w:p w:rsidR="00906FA3"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AF2419">
              <w:rPr>
                <w:rFonts w:ascii="Arial Narrow" w:hAnsi="Arial Narrow"/>
                <w:sz w:val="20"/>
                <w:szCs w:val="20"/>
              </w:rPr>
              <w:t>Normativa y organización</w:t>
            </w:r>
          </w:p>
          <w:p w:rsidR="00906FA3" w:rsidRPr="00AF2419"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AF2419">
              <w:rPr>
                <w:rFonts w:ascii="Arial Narrow" w:hAnsi="Arial Narrow"/>
                <w:sz w:val="20"/>
                <w:szCs w:val="20"/>
              </w:rPr>
              <w:t>Conocimiento científico</w:t>
            </w:r>
          </w:p>
          <w:p w:rsidR="00906FA3" w:rsidRPr="00AF2419"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AF2419">
              <w:rPr>
                <w:rFonts w:ascii="Arial Narrow" w:hAnsi="Arial Narrow"/>
                <w:sz w:val="20"/>
                <w:szCs w:val="20"/>
              </w:rPr>
              <w:t>Métodos</w:t>
            </w:r>
            <w:r>
              <w:rPr>
                <w:rFonts w:ascii="Arial Narrow" w:hAnsi="Arial Narrow"/>
                <w:sz w:val="20"/>
                <w:szCs w:val="20"/>
              </w:rPr>
              <w:t>, sistemas de manejo guías de buenas prácticas</w:t>
            </w:r>
          </w:p>
          <w:p w:rsidR="00906FA3" w:rsidRPr="00AF2419"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p>
        </w:tc>
        <w:tc>
          <w:tcPr>
            <w:tcW w:w="1000" w:type="pct"/>
            <w:tcBorders>
              <w:top w:val="single" w:sz="4" w:space="0" w:color="auto"/>
              <w:left w:val="single" w:sz="4" w:space="0" w:color="auto"/>
              <w:bottom w:val="single" w:sz="4" w:space="0" w:color="auto"/>
              <w:right w:val="single" w:sz="4" w:space="0" w:color="auto"/>
            </w:tcBorders>
          </w:tcPr>
          <w:p w:rsidR="00906FA3" w:rsidRPr="00AF2419"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AF2419">
              <w:rPr>
                <w:rFonts w:ascii="Arial Narrow" w:hAnsi="Arial Narrow"/>
                <w:sz w:val="20"/>
                <w:szCs w:val="20"/>
              </w:rPr>
              <w:t>Comunicación y transporte</w:t>
            </w:r>
          </w:p>
          <w:p w:rsidR="00906FA3" w:rsidRPr="00AF2419"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AF2419">
              <w:rPr>
                <w:rFonts w:ascii="Arial Narrow" w:hAnsi="Arial Narrow"/>
                <w:sz w:val="20"/>
                <w:szCs w:val="20"/>
              </w:rPr>
              <w:t>Localización</w:t>
            </w:r>
            <w:r>
              <w:rPr>
                <w:rFonts w:ascii="Arial Narrow" w:hAnsi="Arial Narrow"/>
                <w:sz w:val="20"/>
                <w:szCs w:val="20"/>
              </w:rPr>
              <w:t xml:space="preserve"> y percepción remota</w:t>
            </w:r>
          </w:p>
          <w:p w:rsidR="00906FA3"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AF2419">
              <w:rPr>
                <w:rFonts w:ascii="Arial Narrow" w:hAnsi="Arial Narrow"/>
                <w:sz w:val="20"/>
                <w:szCs w:val="20"/>
              </w:rPr>
              <w:t>Medición</w:t>
            </w:r>
            <w:r>
              <w:rPr>
                <w:rFonts w:ascii="Arial Narrow" w:hAnsi="Arial Narrow"/>
                <w:sz w:val="20"/>
                <w:szCs w:val="20"/>
              </w:rPr>
              <w:t xml:space="preserve"> y registro de datos</w:t>
            </w:r>
          </w:p>
          <w:p w:rsidR="00906FA3" w:rsidRPr="00AF2419"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AF2419">
              <w:rPr>
                <w:rFonts w:ascii="Arial Narrow" w:hAnsi="Arial Narrow"/>
                <w:sz w:val="20"/>
                <w:szCs w:val="20"/>
              </w:rPr>
              <w:t>Informática</w:t>
            </w:r>
            <w:r>
              <w:rPr>
                <w:rFonts w:ascii="Arial Narrow" w:hAnsi="Arial Narrow"/>
                <w:sz w:val="20"/>
                <w:szCs w:val="20"/>
              </w:rPr>
              <w:t xml:space="preserve"> y procesamiento de datos</w:t>
            </w:r>
          </w:p>
        </w:tc>
        <w:tc>
          <w:tcPr>
            <w:tcW w:w="1000" w:type="pct"/>
            <w:tcBorders>
              <w:top w:val="single" w:sz="4" w:space="0" w:color="auto"/>
              <w:left w:val="single" w:sz="4" w:space="0" w:color="auto"/>
              <w:bottom w:val="single" w:sz="4" w:space="0" w:color="auto"/>
              <w:right w:val="single" w:sz="4" w:space="0" w:color="auto"/>
            </w:tcBorders>
          </w:tcPr>
          <w:p w:rsidR="00906FA3"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Pr>
                <w:rFonts w:ascii="Arial Narrow" w:hAnsi="Arial Narrow"/>
                <w:sz w:val="20"/>
                <w:szCs w:val="20"/>
              </w:rPr>
              <w:t xml:space="preserve"> Bases de operación</w:t>
            </w:r>
          </w:p>
          <w:p w:rsidR="00906FA3" w:rsidRPr="00AF2419"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p>
        </w:tc>
        <w:tc>
          <w:tcPr>
            <w:tcW w:w="1000" w:type="pct"/>
            <w:tcBorders>
              <w:top w:val="single" w:sz="4" w:space="0" w:color="auto"/>
              <w:left w:val="single" w:sz="4" w:space="0" w:color="auto"/>
              <w:bottom w:val="single" w:sz="4" w:space="0" w:color="auto"/>
              <w:right w:val="single" w:sz="4" w:space="0" w:color="auto"/>
            </w:tcBorders>
          </w:tcPr>
          <w:p w:rsidR="00906FA3"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Pr>
                <w:rFonts w:ascii="Arial Narrow" w:hAnsi="Arial Narrow"/>
                <w:sz w:val="20"/>
                <w:szCs w:val="20"/>
              </w:rPr>
              <w:t>Gasto corriente</w:t>
            </w:r>
          </w:p>
          <w:p w:rsidR="00906FA3"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Pr>
                <w:rFonts w:ascii="Arial Narrow" w:hAnsi="Arial Narrow"/>
                <w:sz w:val="20"/>
                <w:szCs w:val="20"/>
              </w:rPr>
              <w:t>Subvenciones y donativos</w:t>
            </w:r>
          </w:p>
          <w:p w:rsidR="00906FA3"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Pr>
                <w:rFonts w:ascii="Arial Narrow" w:hAnsi="Arial Narrow"/>
                <w:sz w:val="20"/>
                <w:szCs w:val="20"/>
              </w:rPr>
              <w:t>Inversiones</w:t>
            </w:r>
          </w:p>
          <w:p w:rsidR="00906FA3"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Pr>
                <w:rFonts w:ascii="Arial Narrow" w:hAnsi="Arial Narrow"/>
                <w:sz w:val="20"/>
                <w:szCs w:val="20"/>
              </w:rPr>
              <w:t>Cuotas de recuperación</w:t>
            </w:r>
          </w:p>
          <w:p w:rsidR="00906FA3"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Pr>
                <w:rFonts w:ascii="Arial Narrow" w:hAnsi="Arial Narrow"/>
                <w:sz w:val="20"/>
                <w:szCs w:val="20"/>
              </w:rPr>
              <w:t>Renta y ganancias</w:t>
            </w:r>
          </w:p>
          <w:p w:rsidR="00906FA3" w:rsidRPr="00AF2419" w:rsidRDefault="00906FA3"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Pr>
                <w:rFonts w:ascii="Arial Narrow" w:hAnsi="Arial Narrow"/>
                <w:sz w:val="20"/>
                <w:szCs w:val="20"/>
              </w:rPr>
              <w:t>Acceso a crédito</w:t>
            </w:r>
          </w:p>
        </w:tc>
      </w:tr>
    </w:tbl>
    <w:p w:rsidR="00906FA3" w:rsidRDefault="00906FA3" w:rsidP="009F1194"/>
    <w:p w:rsidR="009F1194" w:rsidRPr="00C42D72" w:rsidRDefault="009F1194" w:rsidP="00906FA3">
      <w:r w:rsidRPr="00C42D72">
        <w:t xml:space="preserve">La </w:t>
      </w:r>
      <w:r w:rsidRPr="00001461">
        <w:rPr>
          <w:b/>
          <w:i/>
        </w:rPr>
        <w:t>naturaleza</w:t>
      </w:r>
      <w:r w:rsidRPr="00C42D72">
        <w:t xml:space="preserve"> de los actores </w:t>
      </w:r>
      <w:r>
        <w:t xml:space="preserve">es </w:t>
      </w:r>
      <w:r w:rsidR="0081723C">
        <w:t xml:space="preserve">también </w:t>
      </w:r>
      <w:r>
        <w:t>un factor determinante en la eficacia de su</w:t>
      </w:r>
      <w:r w:rsidRPr="00C42D72">
        <w:t xml:space="preserve"> interacción.</w:t>
      </w:r>
    </w:p>
    <w:tbl>
      <w:tblPr>
        <w:tblStyle w:val="Tablaconcuadrcula"/>
        <w:tblW w:w="5000" w:type="pct"/>
        <w:tblLayout w:type="fixed"/>
        <w:tblLook w:val="04A0"/>
      </w:tblPr>
      <w:tblGrid>
        <w:gridCol w:w="2697"/>
        <w:gridCol w:w="1973"/>
        <w:gridCol w:w="2526"/>
        <w:gridCol w:w="1836"/>
        <w:gridCol w:w="2864"/>
        <w:gridCol w:w="2722"/>
      </w:tblGrid>
      <w:tr w:rsidR="009F1194" w:rsidRPr="00C42D72" w:rsidTr="00E46196">
        <w:tc>
          <w:tcPr>
            <w:tcW w:w="13652" w:type="dxa"/>
            <w:gridSpan w:val="6"/>
          </w:tcPr>
          <w:p w:rsidR="009F1194" w:rsidRPr="00800321" w:rsidRDefault="009F1194" w:rsidP="00E46196">
            <w:pPr>
              <w:spacing w:before="40" w:after="40"/>
              <w:rPr>
                <w:b/>
                <w:i/>
              </w:rPr>
            </w:pPr>
            <w:r w:rsidRPr="00800321">
              <w:rPr>
                <w:b/>
                <w:i/>
              </w:rPr>
              <w:t>Naturaleza de los actores</w:t>
            </w:r>
          </w:p>
        </w:tc>
      </w:tr>
      <w:tr w:rsidR="009F1194" w:rsidRPr="00C42D72" w:rsidTr="00E46196">
        <w:tc>
          <w:tcPr>
            <w:tcW w:w="2518" w:type="dxa"/>
          </w:tcPr>
          <w:p w:rsidR="009F1194" w:rsidRPr="00800321" w:rsidRDefault="009F1194" w:rsidP="00E46196">
            <w:pPr>
              <w:spacing w:before="40" w:after="40"/>
              <w:rPr>
                <w:i/>
              </w:rPr>
            </w:pPr>
            <w:r w:rsidRPr="00800321">
              <w:rPr>
                <w:i/>
              </w:rPr>
              <w:t>Esfera</w:t>
            </w:r>
          </w:p>
        </w:tc>
        <w:tc>
          <w:tcPr>
            <w:tcW w:w="1843" w:type="dxa"/>
          </w:tcPr>
          <w:p w:rsidR="009F1194" w:rsidRPr="00800321" w:rsidRDefault="009F1194" w:rsidP="00E46196">
            <w:pPr>
              <w:spacing w:before="40" w:after="40"/>
              <w:rPr>
                <w:i/>
              </w:rPr>
            </w:pPr>
            <w:r w:rsidRPr="00800321">
              <w:rPr>
                <w:i/>
              </w:rPr>
              <w:t>Escala</w:t>
            </w:r>
          </w:p>
        </w:tc>
        <w:tc>
          <w:tcPr>
            <w:tcW w:w="2359" w:type="dxa"/>
          </w:tcPr>
          <w:p w:rsidR="009F1194" w:rsidRPr="00800321" w:rsidRDefault="009F1194" w:rsidP="00E46196">
            <w:pPr>
              <w:spacing w:before="40" w:after="40"/>
              <w:rPr>
                <w:i/>
              </w:rPr>
            </w:pPr>
            <w:r w:rsidRPr="00800321">
              <w:rPr>
                <w:i/>
              </w:rPr>
              <w:t>Sector</w:t>
            </w:r>
          </w:p>
        </w:tc>
        <w:tc>
          <w:tcPr>
            <w:tcW w:w="1715" w:type="dxa"/>
          </w:tcPr>
          <w:p w:rsidR="009F1194" w:rsidRPr="00800321" w:rsidRDefault="009F1194" w:rsidP="00E46196">
            <w:pPr>
              <w:spacing w:before="40" w:after="40"/>
              <w:rPr>
                <w:i/>
              </w:rPr>
            </w:pPr>
            <w:r w:rsidRPr="00800321">
              <w:rPr>
                <w:i/>
              </w:rPr>
              <w:t>Función preponderante</w:t>
            </w:r>
          </w:p>
        </w:tc>
        <w:tc>
          <w:tcPr>
            <w:tcW w:w="2675" w:type="dxa"/>
          </w:tcPr>
          <w:p w:rsidR="009F1194" w:rsidRPr="00800321" w:rsidRDefault="009F1194" w:rsidP="00E46196">
            <w:pPr>
              <w:spacing w:before="40" w:after="40"/>
              <w:rPr>
                <w:i/>
              </w:rPr>
            </w:pPr>
            <w:r w:rsidRPr="00800321">
              <w:rPr>
                <w:i/>
              </w:rPr>
              <w:t>Poder e influencia</w:t>
            </w:r>
          </w:p>
        </w:tc>
        <w:tc>
          <w:tcPr>
            <w:tcW w:w="2542" w:type="dxa"/>
          </w:tcPr>
          <w:p w:rsidR="009F1194" w:rsidRPr="00800321" w:rsidRDefault="009F1194" w:rsidP="00E46196">
            <w:pPr>
              <w:spacing w:before="40" w:after="40"/>
              <w:rPr>
                <w:i/>
              </w:rPr>
            </w:pPr>
            <w:r>
              <w:rPr>
                <w:i/>
              </w:rPr>
              <w:t xml:space="preserve">Injerencia </w:t>
            </w:r>
            <w:r w:rsidRPr="00800321">
              <w:rPr>
                <w:i/>
              </w:rPr>
              <w:t>en políticas públicas</w:t>
            </w:r>
          </w:p>
        </w:tc>
      </w:tr>
      <w:tr w:rsidR="009F1194" w:rsidRPr="00593BEC" w:rsidTr="00E46196">
        <w:tc>
          <w:tcPr>
            <w:tcW w:w="2518" w:type="dxa"/>
          </w:tcPr>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Instancias intergubernamentales</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Gobiernos</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Organizaciones sociales</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Organizaciones civiles</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Empresas</w:t>
            </w:r>
          </w:p>
        </w:tc>
        <w:tc>
          <w:tcPr>
            <w:tcW w:w="1843" w:type="dxa"/>
          </w:tcPr>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Internacional</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Nacional</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Estatal o departamental</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Zonal</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Local</w:t>
            </w:r>
          </w:p>
        </w:tc>
        <w:tc>
          <w:tcPr>
            <w:tcW w:w="2359" w:type="dxa"/>
          </w:tcPr>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Ambiental</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Agropecuario</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Industrial</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Salud</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Educación</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Vivienda y urbanismo</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Telecomunicaciones</w:t>
            </w:r>
          </w:p>
        </w:tc>
        <w:tc>
          <w:tcPr>
            <w:tcW w:w="1715" w:type="dxa"/>
          </w:tcPr>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Institución pública</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Agente</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Organización productiva</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Organización gremial o de interés colectivo</w:t>
            </w:r>
          </w:p>
        </w:tc>
        <w:tc>
          <w:tcPr>
            <w:tcW w:w="2675" w:type="dxa"/>
          </w:tcPr>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Pr>
                <w:rFonts w:ascii="Arial Narrow" w:hAnsi="Arial Narrow"/>
                <w:sz w:val="20"/>
                <w:szCs w:val="20"/>
              </w:rPr>
              <w:t>Misión o</w:t>
            </w:r>
            <w:r w:rsidRPr="00593BEC">
              <w:rPr>
                <w:rFonts w:ascii="Arial Narrow" w:hAnsi="Arial Narrow"/>
                <w:sz w:val="20"/>
                <w:szCs w:val="20"/>
              </w:rPr>
              <w:t xml:space="preserve"> mandato</w:t>
            </w:r>
          </w:p>
          <w:p w:rsidR="009F1194"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Pr>
                <w:rFonts w:ascii="Arial Narrow" w:hAnsi="Arial Narrow"/>
                <w:sz w:val="20"/>
                <w:szCs w:val="20"/>
              </w:rPr>
              <w:t>Jurisdicción</w:t>
            </w:r>
            <w:r w:rsidR="0081723C">
              <w:rPr>
                <w:rFonts w:ascii="Arial Narrow" w:hAnsi="Arial Narrow"/>
                <w:sz w:val="20"/>
                <w:szCs w:val="20"/>
              </w:rPr>
              <w:t xml:space="preserve"> territorial y sectorial</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Capacidad ejecutiva y de gobierno</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Capacidad legislativa y normativa</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Capacidad judicial</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Capacidad financiera</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Personería jurídica</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Titularidad de propiedad o derechos</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Mecanismos de participación ciudadana</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Capacidad de movilización política y de opinión pública</w:t>
            </w:r>
          </w:p>
        </w:tc>
        <w:tc>
          <w:tcPr>
            <w:tcW w:w="2542" w:type="dxa"/>
          </w:tcPr>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Baja o nula: receptor de prestaciones o beneficios.</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Ejecución: involucramiento en acciones diseñadas.</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Asociada: intervención en decisiones de implementación.</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Gerencia: toma de decisiones en definición de prioridades, diseño y planificación de acciones, asignación de recursos.</w:t>
            </w:r>
          </w:p>
          <w:p w:rsidR="009F1194" w:rsidRPr="00593BEC" w:rsidRDefault="009F1194" w:rsidP="00E46196">
            <w:pPr>
              <w:pStyle w:val="Prrafodelista"/>
              <w:numPr>
                <w:ilvl w:val="0"/>
                <w:numId w:val="3"/>
              </w:numPr>
              <w:tabs>
                <w:tab w:val="left" w:pos="113"/>
              </w:tabs>
              <w:spacing w:before="40" w:after="40" w:line="240" w:lineRule="auto"/>
              <w:ind w:left="170" w:hanging="170"/>
              <w:contextualSpacing w:val="0"/>
              <w:rPr>
                <w:rFonts w:ascii="Arial Narrow" w:hAnsi="Arial Narrow"/>
                <w:sz w:val="20"/>
                <w:szCs w:val="20"/>
              </w:rPr>
            </w:pPr>
            <w:r w:rsidRPr="00593BEC">
              <w:rPr>
                <w:rFonts w:ascii="Arial Narrow" w:hAnsi="Arial Narrow"/>
                <w:sz w:val="20"/>
                <w:szCs w:val="20"/>
              </w:rPr>
              <w:t xml:space="preserve">Control: intervención en seguimiento, monitoreo, evaluación y fiscalización de instituciones y agentes. </w:t>
            </w:r>
          </w:p>
        </w:tc>
      </w:tr>
    </w:tbl>
    <w:p w:rsidR="009F1194" w:rsidRDefault="009F1194" w:rsidP="009F1194">
      <w:pPr>
        <w:pStyle w:val="Prrafodelista"/>
        <w:spacing w:after="80" w:line="240" w:lineRule="auto"/>
        <w:ind w:left="360"/>
        <w:contextualSpacing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7"/>
        <w:gridCol w:w="1406"/>
        <w:gridCol w:w="1131"/>
        <w:gridCol w:w="1830"/>
        <w:gridCol w:w="1131"/>
        <w:gridCol w:w="1186"/>
        <w:gridCol w:w="1235"/>
        <w:gridCol w:w="1284"/>
        <w:gridCol w:w="1208"/>
        <w:gridCol w:w="1169"/>
        <w:gridCol w:w="1131"/>
      </w:tblGrid>
      <w:tr w:rsidR="00D41996" w:rsidRPr="000844DE" w:rsidTr="001C0480">
        <w:tc>
          <w:tcPr>
            <w:tcW w:w="1907" w:type="dxa"/>
            <w:tcBorders>
              <w:top w:val="nil"/>
              <w:left w:val="nil"/>
              <w:bottom w:val="single" w:sz="4" w:space="0" w:color="auto"/>
              <w:right w:val="nil"/>
            </w:tcBorders>
            <w:vAlign w:val="center"/>
          </w:tcPr>
          <w:p w:rsidR="0072322C" w:rsidRPr="000844DE" w:rsidRDefault="0072322C" w:rsidP="009F1194">
            <w:pPr>
              <w:pageBreakBefore/>
              <w:spacing w:after="0"/>
              <w:jc w:val="center"/>
              <w:rPr>
                <w:rFonts w:cs="Calibri"/>
                <w:b/>
                <w:spacing w:val="-2"/>
                <w:sz w:val="20"/>
                <w:szCs w:val="20"/>
              </w:rPr>
            </w:pPr>
          </w:p>
        </w:tc>
        <w:tc>
          <w:tcPr>
            <w:tcW w:w="1406" w:type="dxa"/>
            <w:tcBorders>
              <w:top w:val="single" w:sz="4" w:space="0" w:color="auto"/>
              <w:left w:val="single" w:sz="4" w:space="0" w:color="auto"/>
              <w:bottom w:val="single" w:sz="4" w:space="0" w:color="auto"/>
              <w:right w:val="single" w:sz="4" w:space="0" w:color="auto"/>
            </w:tcBorders>
            <w:vAlign w:val="center"/>
          </w:tcPr>
          <w:p w:rsidR="0072322C" w:rsidRPr="000844DE" w:rsidRDefault="000844DE" w:rsidP="00861625">
            <w:pPr>
              <w:spacing w:after="0"/>
              <w:jc w:val="center"/>
              <w:rPr>
                <w:rFonts w:cs="Calibri"/>
                <w:b/>
                <w:spacing w:val="-2"/>
                <w:sz w:val="20"/>
                <w:szCs w:val="20"/>
              </w:rPr>
            </w:pPr>
            <w:r>
              <w:rPr>
                <w:rFonts w:cs="Calibri"/>
                <w:b/>
                <w:spacing w:val="-2"/>
                <w:sz w:val="20"/>
                <w:szCs w:val="20"/>
              </w:rPr>
              <w:t>Sector</w:t>
            </w:r>
            <w:r>
              <w:rPr>
                <w:rFonts w:cs="Calibri"/>
                <w:b/>
                <w:spacing w:val="-2"/>
                <w:sz w:val="20"/>
                <w:szCs w:val="20"/>
              </w:rPr>
              <w:br/>
              <w:t>Organización</w:t>
            </w:r>
          </w:p>
        </w:tc>
        <w:tc>
          <w:tcPr>
            <w:tcW w:w="1131" w:type="dxa"/>
            <w:tcBorders>
              <w:top w:val="single" w:sz="4" w:space="0" w:color="auto"/>
              <w:left w:val="single" w:sz="4" w:space="0" w:color="auto"/>
              <w:bottom w:val="single" w:sz="4" w:space="0" w:color="auto"/>
              <w:right w:val="single" w:sz="4" w:space="0" w:color="auto"/>
            </w:tcBorders>
            <w:vAlign w:val="center"/>
          </w:tcPr>
          <w:p w:rsidR="0072322C" w:rsidRPr="000844DE" w:rsidRDefault="0072322C" w:rsidP="00861625">
            <w:pPr>
              <w:spacing w:after="0"/>
              <w:jc w:val="center"/>
              <w:rPr>
                <w:rFonts w:cs="Calibri"/>
                <w:b/>
                <w:spacing w:val="-2"/>
                <w:sz w:val="20"/>
                <w:szCs w:val="20"/>
              </w:rPr>
            </w:pPr>
            <w:r w:rsidRPr="000844DE">
              <w:rPr>
                <w:rFonts w:cs="Calibri"/>
                <w:b/>
                <w:spacing w:val="-2"/>
                <w:sz w:val="20"/>
                <w:szCs w:val="20"/>
              </w:rPr>
              <w:t>Belice</w:t>
            </w:r>
          </w:p>
        </w:tc>
        <w:tc>
          <w:tcPr>
            <w:tcW w:w="1830" w:type="dxa"/>
            <w:tcBorders>
              <w:left w:val="single" w:sz="4" w:space="0" w:color="auto"/>
            </w:tcBorders>
            <w:vAlign w:val="center"/>
          </w:tcPr>
          <w:p w:rsidR="0072322C" w:rsidRPr="000844DE" w:rsidRDefault="0072322C" w:rsidP="00861625">
            <w:pPr>
              <w:spacing w:after="0"/>
              <w:jc w:val="center"/>
              <w:rPr>
                <w:rFonts w:cs="Calibri"/>
                <w:b/>
                <w:spacing w:val="-2"/>
                <w:sz w:val="20"/>
                <w:szCs w:val="20"/>
              </w:rPr>
            </w:pPr>
            <w:r w:rsidRPr="000844DE">
              <w:rPr>
                <w:rFonts w:cs="Calibri"/>
                <w:b/>
                <w:spacing w:val="-2"/>
                <w:sz w:val="20"/>
                <w:szCs w:val="20"/>
              </w:rPr>
              <w:t>Colombia</w:t>
            </w:r>
          </w:p>
        </w:tc>
        <w:tc>
          <w:tcPr>
            <w:tcW w:w="1131" w:type="dxa"/>
            <w:vAlign w:val="center"/>
          </w:tcPr>
          <w:p w:rsidR="0072322C" w:rsidRPr="000844DE" w:rsidRDefault="0072322C" w:rsidP="00861625">
            <w:pPr>
              <w:spacing w:after="0"/>
              <w:jc w:val="center"/>
              <w:rPr>
                <w:rFonts w:cs="Calibri"/>
                <w:b/>
                <w:spacing w:val="-2"/>
                <w:sz w:val="20"/>
                <w:szCs w:val="20"/>
              </w:rPr>
            </w:pPr>
            <w:r w:rsidRPr="000844DE">
              <w:rPr>
                <w:rFonts w:cs="Calibri"/>
                <w:b/>
                <w:spacing w:val="-2"/>
                <w:sz w:val="20"/>
                <w:szCs w:val="20"/>
              </w:rPr>
              <w:t>Costa Rica</w:t>
            </w:r>
          </w:p>
        </w:tc>
        <w:tc>
          <w:tcPr>
            <w:tcW w:w="1186" w:type="dxa"/>
            <w:vAlign w:val="center"/>
          </w:tcPr>
          <w:p w:rsidR="0072322C" w:rsidRPr="000844DE" w:rsidRDefault="0072322C" w:rsidP="00861625">
            <w:pPr>
              <w:spacing w:after="0"/>
              <w:jc w:val="center"/>
              <w:rPr>
                <w:rFonts w:cs="Calibri"/>
                <w:b/>
                <w:spacing w:val="-2"/>
                <w:sz w:val="20"/>
                <w:szCs w:val="20"/>
              </w:rPr>
            </w:pPr>
            <w:r w:rsidRPr="000844DE">
              <w:rPr>
                <w:rFonts w:cs="Calibri"/>
                <w:b/>
                <w:spacing w:val="-2"/>
                <w:sz w:val="20"/>
                <w:szCs w:val="20"/>
              </w:rPr>
              <w:t>El Salvador</w:t>
            </w:r>
          </w:p>
        </w:tc>
        <w:tc>
          <w:tcPr>
            <w:tcW w:w="1235" w:type="dxa"/>
            <w:vAlign w:val="center"/>
          </w:tcPr>
          <w:p w:rsidR="0072322C" w:rsidRPr="000844DE" w:rsidRDefault="0072322C" w:rsidP="00861625">
            <w:pPr>
              <w:spacing w:after="0"/>
              <w:jc w:val="center"/>
              <w:rPr>
                <w:rFonts w:cs="Calibri"/>
                <w:b/>
                <w:spacing w:val="-2"/>
                <w:sz w:val="20"/>
                <w:szCs w:val="20"/>
              </w:rPr>
            </w:pPr>
            <w:r w:rsidRPr="000844DE">
              <w:rPr>
                <w:rFonts w:cs="Calibri"/>
                <w:b/>
                <w:spacing w:val="-2"/>
                <w:sz w:val="20"/>
                <w:szCs w:val="20"/>
              </w:rPr>
              <w:t>Guatemala</w:t>
            </w:r>
          </w:p>
        </w:tc>
        <w:tc>
          <w:tcPr>
            <w:tcW w:w="1284" w:type="dxa"/>
            <w:vAlign w:val="center"/>
          </w:tcPr>
          <w:p w:rsidR="0072322C" w:rsidRPr="000844DE" w:rsidRDefault="0072322C" w:rsidP="00861625">
            <w:pPr>
              <w:spacing w:after="0"/>
              <w:jc w:val="center"/>
              <w:rPr>
                <w:rFonts w:cs="Calibri"/>
                <w:b/>
                <w:spacing w:val="-2"/>
                <w:sz w:val="20"/>
                <w:szCs w:val="20"/>
              </w:rPr>
            </w:pPr>
            <w:r w:rsidRPr="000844DE">
              <w:rPr>
                <w:rFonts w:cs="Calibri"/>
                <w:b/>
                <w:spacing w:val="-2"/>
                <w:sz w:val="20"/>
                <w:szCs w:val="20"/>
              </w:rPr>
              <w:t>Honduras</w:t>
            </w:r>
          </w:p>
        </w:tc>
        <w:tc>
          <w:tcPr>
            <w:tcW w:w="1208" w:type="dxa"/>
            <w:vAlign w:val="center"/>
          </w:tcPr>
          <w:p w:rsidR="0072322C" w:rsidRPr="000844DE" w:rsidRDefault="0072322C" w:rsidP="00861625">
            <w:pPr>
              <w:spacing w:after="0"/>
              <w:jc w:val="center"/>
              <w:rPr>
                <w:rFonts w:cs="Calibri"/>
                <w:b/>
                <w:spacing w:val="-2"/>
                <w:sz w:val="20"/>
                <w:szCs w:val="20"/>
              </w:rPr>
            </w:pPr>
            <w:r w:rsidRPr="000844DE">
              <w:rPr>
                <w:rFonts w:cs="Calibri"/>
                <w:b/>
                <w:spacing w:val="-2"/>
                <w:sz w:val="20"/>
                <w:szCs w:val="20"/>
              </w:rPr>
              <w:t>México</w:t>
            </w:r>
          </w:p>
        </w:tc>
        <w:tc>
          <w:tcPr>
            <w:tcW w:w="1169" w:type="dxa"/>
            <w:vAlign w:val="center"/>
          </w:tcPr>
          <w:p w:rsidR="0072322C" w:rsidRPr="000844DE" w:rsidRDefault="0072322C" w:rsidP="00861625">
            <w:pPr>
              <w:spacing w:after="0"/>
              <w:jc w:val="center"/>
              <w:rPr>
                <w:rFonts w:cs="Calibri"/>
                <w:b/>
                <w:spacing w:val="-2"/>
                <w:sz w:val="20"/>
                <w:szCs w:val="20"/>
                <w:lang w:val="es-ES"/>
              </w:rPr>
            </w:pPr>
            <w:r w:rsidRPr="000844DE">
              <w:rPr>
                <w:rFonts w:cs="Calibri"/>
                <w:b/>
                <w:spacing w:val="-2"/>
                <w:sz w:val="20"/>
                <w:szCs w:val="20"/>
              </w:rPr>
              <w:t>Ni</w:t>
            </w:r>
            <w:r w:rsidRPr="000844DE">
              <w:rPr>
                <w:rFonts w:cs="Calibri"/>
                <w:b/>
                <w:spacing w:val="-2"/>
                <w:sz w:val="20"/>
                <w:szCs w:val="20"/>
                <w:lang w:val="es-ES"/>
              </w:rPr>
              <w:t>caragua</w:t>
            </w:r>
          </w:p>
        </w:tc>
        <w:tc>
          <w:tcPr>
            <w:tcW w:w="1131" w:type="dxa"/>
            <w:vAlign w:val="center"/>
          </w:tcPr>
          <w:p w:rsidR="0072322C" w:rsidRPr="000844DE" w:rsidRDefault="0072322C" w:rsidP="00861625">
            <w:pPr>
              <w:spacing w:after="0"/>
              <w:jc w:val="center"/>
              <w:rPr>
                <w:rFonts w:cs="Calibri"/>
                <w:b/>
                <w:spacing w:val="-2"/>
                <w:sz w:val="20"/>
                <w:szCs w:val="20"/>
                <w:lang w:val="es-ES"/>
              </w:rPr>
            </w:pPr>
            <w:r w:rsidRPr="000844DE">
              <w:rPr>
                <w:rFonts w:cs="Calibri"/>
                <w:b/>
                <w:spacing w:val="-2"/>
                <w:sz w:val="20"/>
                <w:szCs w:val="20"/>
                <w:lang w:val="es-ES"/>
              </w:rPr>
              <w:t>Panamá</w:t>
            </w:r>
          </w:p>
        </w:tc>
      </w:tr>
      <w:tr w:rsidR="00D41996" w:rsidRPr="000844DE" w:rsidTr="001C0480">
        <w:tc>
          <w:tcPr>
            <w:tcW w:w="190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0844DE" w:rsidRPr="000844DE" w:rsidRDefault="000844DE" w:rsidP="00861625">
            <w:pPr>
              <w:spacing w:after="0"/>
              <w:jc w:val="center"/>
              <w:rPr>
                <w:rFonts w:cs="Calibri"/>
                <w:b/>
                <w:spacing w:val="-2"/>
                <w:sz w:val="20"/>
                <w:szCs w:val="20"/>
              </w:rPr>
            </w:pPr>
            <w:r w:rsidRPr="000844DE">
              <w:rPr>
                <w:rFonts w:cs="Calibri"/>
                <w:b/>
                <w:spacing w:val="-2"/>
                <w:sz w:val="20"/>
                <w:szCs w:val="20"/>
              </w:rPr>
              <w:t>Gobierno</w:t>
            </w:r>
            <w:r>
              <w:rPr>
                <w:rFonts w:cs="Calibri"/>
                <w:b/>
                <w:spacing w:val="-2"/>
                <w:sz w:val="20"/>
                <w:szCs w:val="20"/>
              </w:rPr>
              <w:t>s nacionales</w:t>
            </w:r>
          </w:p>
        </w:tc>
        <w:tc>
          <w:tcPr>
            <w:tcW w:w="1406" w:type="dxa"/>
            <w:tcBorders>
              <w:top w:val="single" w:sz="4" w:space="0" w:color="auto"/>
              <w:left w:val="single" w:sz="4" w:space="0" w:color="auto"/>
              <w:right w:val="single" w:sz="4" w:space="0" w:color="auto"/>
            </w:tcBorders>
            <w:shd w:val="clear" w:color="auto" w:fill="F2F2F2" w:themeFill="background1" w:themeFillShade="F2"/>
            <w:vAlign w:val="center"/>
          </w:tcPr>
          <w:p w:rsidR="000844DE" w:rsidRPr="000844DE" w:rsidRDefault="000844DE" w:rsidP="00861625">
            <w:pPr>
              <w:spacing w:after="0"/>
              <w:jc w:val="center"/>
              <w:rPr>
                <w:rFonts w:cs="Calibri"/>
                <w:b/>
                <w:spacing w:val="-2"/>
                <w:sz w:val="20"/>
                <w:szCs w:val="20"/>
              </w:rPr>
            </w:pPr>
            <w:r w:rsidRPr="000844DE">
              <w:rPr>
                <w:rFonts w:cs="Calibri"/>
                <w:b/>
                <w:spacing w:val="-2"/>
                <w:sz w:val="20"/>
                <w:szCs w:val="20"/>
              </w:rPr>
              <w:t>Ambiental</w:t>
            </w:r>
          </w:p>
        </w:tc>
        <w:tc>
          <w:tcPr>
            <w:tcW w:w="1131" w:type="dxa"/>
            <w:tcBorders>
              <w:top w:val="single" w:sz="4" w:space="0" w:color="auto"/>
              <w:left w:val="single" w:sz="4" w:space="0" w:color="auto"/>
            </w:tcBorders>
            <w:shd w:val="clear" w:color="auto" w:fill="F2F2F2" w:themeFill="background1" w:themeFillShade="F2"/>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MNREI</w:t>
            </w:r>
          </w:p>
        </w:tc>
        <w:tc>
          <w:tcPr>
            <w:tcW w:w="1830" w:type="dxa"/>
            <w:shd w:val="clear" w:color="auto" w:fill="F2F2F2" w:themeFill="background1" w:themeFillShade="F2"/>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MINAMBIENTE</w:t>
            </w:r>
          </w:p>
        </w:tc>
        <w:tc>
          <w:tcPr>
            <w:tcW w:w="1131" w:type="dxa"/>
            <w:shd w:val="clear" w:color="auto" w:fill="F2F2F2" w:themeFill="background1" w:themeFillShade="F2"/>
            <w:vAlign w:val="center"/>
          </w:tcPr>
          <w:p w:rsidR="000844DE" w:rsidRDefault="000844DE" w:rsidP="00861625">
            <w:pPr>
              <w:spacing w:after="0"/>
              <w:jc w:val="center"/>
              <w:rPr>
                <w:rFonts w:cs="Calibri"/>
                <w:spacing w:val="-2"/>
                <w:sz w:val="20"/>
                <w:szCs w:val="20"/>
              </w:rPr>
            </w:pPr>
            <w:r w:rsidRPr="000844DE">
              <w:rPr>
                <w:rFonts w:cs="Calibri"/>
                <w:spacing w:val="-2"/>
                <w:sz w:val="20"/>
                <w:szCs w:val="20"/>
              </w:rPr>
              <w:t>MINAET</w:t>
            </w:r>
          </w:p>
          <w:p w:rsidR="000844DE" w:rsidRPr="000844DE" w:rsidRDefault="000844DE" w:rsidP="00861625">
            <w:pPr>
              <w:spacing w:after="0"/>
              <w:jc w:val="center"/>
              <w:rPr>
                <w:rFonts w:cs="Calibri"/>
                <w:spacing w:val="-2"/>
                <w:sz w:val="20"/>
                <w:szCs w:val="20"/>
              </w:rPr>
            </w:pPr>
            <w:r w:rsidRPr="000844DE">
              <w:rPr>
                <w:rFonts w:cs="Calibri"/>
                <w:spacing w:val="-2"/>
                <w:sz w:val="20"/>
                <w:szCs w:val="20"/>
              </w:rPr>
              <w:t>SINAC</w:t>
            </w:r>
          </w:p>
        </w:tc>
        <w:tc>
          <w:tcPr>
            <w:tcW w:w="1186" w:type="dxa"/>
            <w:shd w:val="clear" w:color="auto" w:fill="F2F2F2" w:themeFill="background1" w:themeFillShade="F2"/>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MARN</w:t>
            </w:r>
          </w:p>
        </w:tc>
        <w:tc>
          <w:tcPr>
            <w:tcW w:w="1235" w:type="dxa"/>
            <w:shd w:val="clear" w:color="auto" w:fill="F2F2F2" w:themeFill="background1" w:themeFillShade="F2"/>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MARN</w:t>
            </w:r>
          </w:p>
          <w:p w:rsidR="000844DE" w:rsidRPr="000844DE" w:rsidRDefault="000844DE" w:rsidP="00861625">
            <w:pPr>
              <w:spacing w:after="0"/>
              <w:jc w:val="center"/>
              <w:rPr>
                <w:rFonts w:cs="Calibri"/>
                <w:spacing w:val="-2"/>
                <w:sz w:val="20"/>
                <w:szCs w:val="20"/>
              </w:rPr>
            </w:pPr>
            <w:r w:rsidRPr="000844DE">
              <w:rPr>
                <w:rFonts w:cs="Calibri"/>
                <w:spacing w:val="-2"/>
                <w:sz w:val="20"/>
                <w:szCs w:val="20"/>
              </w:rPr>
              <w:t>CONAP</w:t>
            </w:r>
          </w:p>
        </w:tc>
        <w:tc>
          <w:tcPr>
            <w:tcW w:w="1284" w:type="dxa"/>
            <w:shd w:val="clear" w:color="auto" w:fill="F2F2F2" w:themeFill="background1" w:themeFillShade="F2"/>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SERNA</w:t>
            </w:r>
          </w:p>
          <w:p w:rsidR="000844DE" w:rsidRPr="000844DE" w:rsidRDefault="000844DE" w:rsidP="00861625">
            <w:pPr>
              <w:spacing w:after="0"/>
              <w:jc w:val="center"/>
              <w:rPr>
                <w:rFonts w:cs="Calibri"/>
                <w:spacing w:val="-2"/>
                <w:sz w:val="20"/>
                <w:szCs w:val="20"/>
              </w:rPr>
            </w:pPr>
            <w:r w:rsidRPr="000844DE">
              <w:rPr>
                <w:rFonts w:cs="Calibri"/>
                <w:spacing w:val="-2"/>
                <w:sz w:val="20"/>
                <w:szCs w:val="20"/>
              </w:rPr>
              <w:t>ICF</w:t>
            </w:r>
          </w:p>
        </w:tc>
        <w:tc>
          <w:tcPr>
            <w:tcW w:w="1208" w:type="dxa"/>
            <w:shd w:val="clear" w:color="auto" w:fill="F2F2F2" w:themeFill="background1" w:themeFillShade="F2"/>
            <w:vAlign w:val="center"/>
          </w:tcPr>
          <w:p w:rsidR="000844DE" w:rsidRDefault="000844DE" w:rsidP="00861625">
            <w:pPr>
              <w:spacing w:after="0"/>
              <w:jc w:val="center"/>
              <w:rPr>
                <w:rFonts w:cs="Calibri"/>
                <w:spacing w:val="-2"/>
                <w:sz w:val="20"/>
                <w:szCs w:val="20"/>
              </w:rPr>
            </w:pPr>
            <w:r>
              <w:rPr>
                <w:rFonts w:cs="Calibri"/>
                <w:spacing w:val="-2"/>
                <w:sz w:val="20"/>
                <w:szCs w:val="20"/>
              </w:rPr>
              <w:t>SEMARNAT</w:t>
            </w:r>
          </w:p>
          <w:p w:rsidR="000844DE" w:rsidRPr="000844DE" w:rsidRDefault="000844DE" w:rsidP="00861625">
            <w:pPr>
              <w:spacing w:after="0"/>
              <w:jc w:val="center"/>
              <w:rPr>
                <w:rFonts w:cs="Calibri"/>
                <w:spacing w:val="-2"/>
                <w:sz w:val="20"/>
                <w:szCs w:val="20"/>
              </w:rPr>
            </w:pPr>
            <w:r w:rsidRPr="000844DE">
              <w:rPr>
                <w:rFonts w:cs="Calibri"/>
                <w:spacing w:val="-2"/>
                <w:sz w:val="20"/>
                <w:szCs w:val="20"/>
              </w:rPr>
              <w:t>CONABIO</w:t>
            </w:r>
          </w:p>
          <w:p w:rsidR="000844DE" w:rsidRDefault="000844DE" w:rsidP="00861625">
            <w:pPr>
              <w:spacing w:after="0"/>
              <w:jc w:val="center"/>
              <w:rPr>
                <w:rFonts w:cs="Calibri"/>
                <w:spacing w:val="-2"/>
                <w:sz w:val="20"/>
                <w:szCs w:val="20"/>
              </w:rPr>
            </w:pPr>
            <w:r w:rsidRPr="000844DE">
              <w:rPr>
                <w:rFonts w:cs="Calibri"/>
                <w:spacing w:val="-2"/>
                <w:sz w:val="20"/>
                <w:szCs w:val="20"/>
              </w:rPr>
              <w:t>CONANP</w:t>
            </w:r>
          </w:p>
          <w:p w:rsidR="000844DE" w:rsidRPr="000844DE" w:rsidRDefault="000844DE" w:rsidP="00861625">
            <w:pPr>
              <w:spacing w:after="0"/>
              <w:jc w:val="center"/>
              <w:rPr>
                <w:rFonts w:cs="Calibri"/>
                <w:spacing w:val="-2"/>
                <w:sz w:val="20"/>
                <w:szCs w:val="20"/>
              </w:rPr>
            </w:pPr>
            <w:r>
              <w:rPr>
                <w:rFonts w:cs="Calibri"/>
                <w:spacing w:val="-2"/>
                <w:sz w:val="20"/>
                <w:szCs w:val="20"/>
              </w:rPr>
              <w:t>INE</w:t>
            </w:r>
          </w:p>
        </w:tc>
        <w:tc>
          <w:tcPr>
            <w:tcW w:w="1169" w:type="dxa"/>
            <w:shd w:val="clear" w:color="auto" w:fill="F2F2F2" w:themeFill="background1" w:themeFillShade="F2"/>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MARENA</w:t>
            </w:r>
          </w:p>
          <w:p w:rsidR="000844DE" w:rsidRPr="000844DE" w:rsidRDefault="000844DE" w:rsidP="00861625">
            <w:pPr>
              <w:spacing w:after="0"/>
              <w:jc w:val="center"/>
              <w:rPr>
                <w:rFonts w:cs="Calibri"/>
                <w:spacing w:val="-2"/>
                <w:sz w:val="20"/>
                <w:szCs w:val="20"/>
              </w:rPr>
            </w:pPr>
          </w:p>
        </w:tc>
        <w:tc>
          <w:tcPr>
            <w:tcW w:w="1131" w:type="dxa"/>
            <w:shd w:val="clear" w:color="auto" w:fill="F2F2F2" w:themeFill="background1" w:themeFillShade="F2"/>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ANAM</w:t>
            </w:r>
          </w:p>
          <w:p w:rsidR="000844DE" w:rsidRPr="000844DE" w:rsidRDefault="000844DE" w:rsidP="00861625">
            <w:pPr>
              <w:spacing w:after="0"/>
              <w:jc w:val="center"/>
              <w:rPr>
                <w:rFonts w:cs="Calibri"/>
                <w:spacing w:val="-2"/>
                <w:sz w:val="20"/>
                <w:szCs w:val="20"/>
              </w:rPr>
            </w:pPr>
          </w:p>
        </w:tc>
      </w:tr>
      <w:tr w:rsidR="00D41996" w:rsidRPr="000844DE" w:rsidTr="001C0480">
        <w:tc>
          <w:tcPr>
            <w:tcW w:w="1907" w:type="dxa"/>
            <w:vMerge/>
            <w:tcBorders>
              <w:left w:val="single" w:sz="4" w:space="0" w:color="auto"/>
              <w:right w:val="single" w:sz="4" w:space="0" w:color="auto"/>
            </w:tcBorders>
            <w:shd w:val="clear" w:color="auto" w:fill="F2F2F2" w:themeFill="background1" w:themeFillShade="F2"/>
            <w:vAlign w:val="center"/>
          </w:tcPr>
          <w:p w:rsidR="000844DE" w:rsidRPr="000844DE" w:rsidRDefault="000844DE" w:rsidP="00861625">
            <w:pPr>
              <w:spacing w:after="0"/>
              <w:jc w:val="center"/>
              <w:rPr>
                <w:rFonts w:cs="Calibri"/>
                <w:b/>
                <w:spacing w:val="-2"/>
                <w:sz w:val="20"/>
                <w:szCs w:val="20"/>
              </w:rPr>
            </w:pPr>
          </w:p>
        </w:tc>
        <w:tc>
          <w:tcPr>
            <w:tcW w:w="1406" w:type="dxa"/>
            <w:tcBorders>
              <w:top w:val="single" w:sz="4" w:space="0" w:color="auto"/>
              <w:left w:val="single" w:sz="4" w:space="0" w:color="auto"/>
              <w:right w:val="single" w:sz="4" w:space="0" w:color="auto"/>
            </w:tcBorders>
            <w:shd w:val="clear" w:color="auto" w:fill="auto"/>
            <w:vAlign w:val="center"/>
          </w:tcPr>
          <w:p w:rsidR="000844DE" w:rsidRPr="000844DE" w:rsidRDefault="000844DE" w:rsidP="00861625">
            <w:pPr>
              <w:spacing w:after="0"/>
              <w:jc w:val="center"/>
              <w:rPr>
                <w:rFonts w:cs="Calibri"/>
                <w:b/>
                <w:spacing w:val="-2"/>
                <w:sz w:val="20"/>
                <w:szCs w:val="20"/>
              </w:rPr>
            </w:pPr>
            <w:r w:rsidRPr="000844DE">
              <w:rPr>
                <w:rFonts w:cs="Calibri"/>
                <w:b/>
                <w:spacing w:val="-2"/>
                <w:sz w:val="20"/>
                <w:szCs w:val="20"/>
              </w:rPr>
              <w:t>Agropecuario</w:t>
            </w:r>
          </w:p>
        </w:tc>
        <w:tc>
          <w:tcPr>
            <w:tcW w:w="1131" w:type="dxa"/>
            <w:tcBorders>
              <w:top w:val="single" w:sz="4" w:space="0" w:color="auto"/>
              <w:left w:val="single" w:sz="4" w:space="0" w:color="auto"/>
            </w:tcBorders>
            <w:shd w:val="clear" w:color="auto" w:fill="auto"/>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MAF</w:t>
            </w:r>
          </w:p>
        </w:tc>
        <w:tc>
          <w:tcPr>
            <w:tcW w:w="1830" w:type="dxa"/>
            <w:shd w:val="clear" w:color="auto" w:fill="auto"/>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MINAGRICULTURA</w:t>
            </w:r>
          </w:p>
        </w:tc>
        <w:tc>
          <w:tcPr>
            <w:tcW w:w="1131" w:type="dxa"/>
            <w:shd w:val="clear" w:color="auto" w:fill="auto"/>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MAG</w:t>
            </w:r>
          </w:p>
        </w:tc>
        <w:tc>
          <w:tcPr>
            <w:tcW w:w="1186" w:type="dxa"/>
            <w:shd w:val="clear" w:color="auto" w:fill="auto"/>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MAG</w:t>
            </w:r>
          </w:p>
        </w:tc>
        <w:tc>
          <w:tcPr>
            <w:tcW w:w="1235" w:type="dxa"/>
            <w:shd w:val="clear" w:color="auto" w:fill="auto"/>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MAGA</w:t>
            </w:r>
          </w:p>
        </w:tc>
        <w:tc>
          <w:tcPr>
            <w:tcW w:w="1284" w:type="dxa"/>
            <w:shd w:val="clear" w:color="auto" w:fill="auto"/>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SAG</w:t>
            </w:r>
          </w:p>
        </w:tc>
        <w:tc>
          <w:tcPr>
            <w:tcW w:w="1208" w:type="dxa"/>
            <w:shd w:val="clear" w:color="auto" w:fill="auto"/>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SAGARPA</w:t>
            </w:r>
          </w:p>
        </w:tc>
        <w:tc>
          <w:tcPr>
            <w:tcW w:w="1169" w:type="dxa"/>
            <w:shd w:val="clear" w:color="auto" w:fill="auto"/>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MAGFOR</w:t>
            </w:r>
          </w:p>
        </w:tc>
        <w:tc>
          <w:tcPr>
            <w:tcW w:w="1131" w:type="dxa"/>
            <w:shd w:val="clear" w:color="auto" w:fill="auto"/>
            <w:vAlign w:val="center"/>
          </w:tcPr>
          <w:p w:rsidR="000844DE" w:rsidRPr="000844DE" w:rsidRDefault="000844DE" w:rsidP="00861625">
            <w:pPr>
              <w:spacing w:after="0"/>
              <w:jc w:val="center"/>
              <w:rPr>
                <w:rFonts w:cs="Calibri"/>
                <w:spacing w:val="-2"/>
                <w:sz w:val="20"/>
                <w:szCs w:val="20"/>
              </w:rPr>
            </w:pPr>
            <w:r w:rsidRPr="000844DE">
              <w:rPr>
                <w:rFonts w:cs="Calibri"/>
                <w:spacing w:val="-2"/>
                <w:sz w:val="20"/>
                <w:szCs w:val="20"/>
              </w:rPr>
              <w:t>MIDA</w:t>
            </w:r>
          </w:p>
        </w:tc>
      </w:tr>
      <w:tr w:rsidR="00D41996" w:rsidRPr="000844DE" w:rsidTr="001C0480">
        <w:tc>
          <w:tcPr>
            <w:tcW w:w="1907"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844DE" w:rsidRPr="000844DE" w:rsidRDefault="000844DE" w:rsidP="00861625">
            <w:pPr>
              <w:spacing w:after="0"/>
              <w:jc w:val="center"/>
              <w:rPr>
                <w:rFonts w:cs="Calibri"/>
                <w:b/>
                <w:spacing w:val="-2"/>
                <w:sz w:val="20"/>
                <w:szCs w:val="20"/>
              </w:rPr>
            </w:pPr>
          </w:p>
        </w:tc>
        <w:tc>
          <w:tcPr>
            <w:tcW w:w="1406" w:type="dxa"/>
            <w:tcBorders>
              <w:top w:val="single" w:sz="4" w:space="0" w:color="auto"/>
              <w:left w:val="single" w:sz="4" w:space="0" w:color="auto"/>
              <w:right w:val="single" w:sz="4" w:space="0" w:color="auto"/>
            </w:tcBorders>
            <w:shd w:val="clear" w:color="auto" w:fill="F2F2F2" w:themeFill="background1" w:themeFillShade="F2"/>
            <w:vAlign w:val="center"/>
          </w:tcPr>
          <w:p w:rsidR="000844DE" w:rsidRPr="000844DE" w:rsidRDefault="000844DE" w:rsidP="00861625">
            <w:pPr>
              <w:spacing w:after="0"/>
              <w:jc w:val="center"/>
              <w:rPr>
                <w:rFonts w:cs="Calibri"/>
                <w:b/>
                <w:spacing w:val="-2"/>
                <w:sz w:val="20"/>
                <w:szCs w:val="20"/>
              </w:rPr>
            </w:pPr>
            <w:r w:rsidRPr="000844DE">
              <w:rPr>
                <w:rFonts w:cs="Calibri"/>
                <w:b/>
                <w:spacing w:val="-2"/>
                <w:sz w:val="20"/>
                <w:szCs w:val="20"/>
              </w:rPr>
              <w:t>Salud</w:t>
            </w:r>
          </w:p>
        </w:tc>
        <w:tc>
          <w:tcPr>
            <w:tcW w:w="1131" w:type="dxa"/>
            <w:tcBorders>
              <w:top w:val="single" w:sz="4" w:space="0" w:color="auto"/>
              <w:left w:val="single" w:sz="4" w:space="0" w:color="auto"/>
            </w:tcBorders>
            <w:shd w:val="clear" w:color="auto" w:fill="F2F2F2" w:themeFill="background1" w:themeFillShade="F2"/>
            <w:vAlign w:val="center"/>
          </w:tcPr>
          <w:p w:rsidR="000844DE" w:rsidRPr="000844DE" w:rsidRDefault="00A45D10" w:rsidP="00861625">
            <w:pPr>
              <w:spacing w:after="0"/>
              <w:jc w:val="center"/>
              <w:rPr>
                <w:rFonts w:cs="Calibri"/>
                <w:spacing w:val="-2"/>
                <w:sz w:val="20"/>
                <w:szCs w:val="20"/>
              </w:rPr>
            </w:pPr>
            <w:r>
              <w:rPr>
                <w:rFonts w:cs="Calibri"/>
                <w:spacing w:val="-2"/>
                <w:sz w:val="20"/>
                <w:szCs w:val="20"/>
              </w:rPr>
              <w:t>MH</w:t>
            </w:r>
          </w:p>
        </w:tc>
        <w:tc>
          <w:tcPr>
            <w:tcW w:w="1830" w:type="dxa"/>
            <w:shd w:val="clear" w:color="auto" w:fill="F2F2F2" w:themeFill="background1" w:themeFillShade="F2"/>
            <w:vAlign w:val="center"/>
          </w:tcPr>
          <w:p w:rsidR="000844DE" w:rsidRPr="000844DE" w:rsidRDefault="00A45D10" w:rsidP="00861625">
            <w:pPr>
              <w:spacing w:after="0"/>
              <w:jc w:val="center"/>
              <w:rPr>
                <w:rFonts w:cs="Calibri"/>
                <w:spacing w:val="-2"/>
                <w:sz w:val="20"/>
                <w:szCs w:val="20"/>
              </w:rPr>
            </w:pPr>
            <w:r>
              <w:rPr>
                <w:rFonts w:cs="Calibri"/>
                <w:spacing w:val="-2"/>
                <w:sz w:val="20"/>
                <w:szCs w:val="20"/>
              </w:rPr>
              <w:t>MINSALUD</w:t>
            </w:r>
          </w:p>
        </w:tc>
        <w:tc>
          <w:tcPr>
            <w:tcW w:w="1131" w:type="dxa"/>
            <w:shd w:val="clear" w:color="auto" w:fill="F2F2F2" w:themeFill="background1" w:themeFillShade="F2"/>
            <w:vAlign w:val="center"/>
          </w:tcPr>
          <w:p w:rsidR="000844DE" w:rsidRPr="000844DE" w:rsidRDefault="00A45D10" w:rsidP="00861625">
            <w:pPr>
              <w:spacing w:after="0"/>
              <w:jc w:val="center"/>
              <w:rPr>
                <w:rFonts w:cs="Calibri"/>
                <w:spacing w:val="-2"/>
                <w:sz w:val="20"/>
                <w:szCs w:val="20"/>
              </w:rPr>
            </w:pPr>
            <w:r>
              <w:rPr>
                <w:rFonts w:cs="Calibri"/>
                <w:spacing w:val="-2"/>
                <w:sz w:val="20"/>
                <w:szCs w:val="20"/>
              </w:rPr>
              <w:t>MSCR</w:t>
            </w:r>
          </w:p>
        </w:tc>
        <w:tc>
          <w:tcPr>
            <w:tcW w:w="1186" w:type="dxa"/>
            <w:shd w:val="clear" w:color="auto" w:fill="F2F2F2" w:themeFill="background1" w:themeFillShade="F2"/>
            <w:vAlign w:val="center"/>
          </w:tcPr>
          <w:p w:rsidR="000844DE" w:rsidRPr="000844DE" w:rsidRDefault="00A45D10" w:rsidP="00861625">
            <w:pPr>
              <w:spacing w:after="0"/>
              <w:jc w:val="center"/>
              <w:rPr>
                <w:rFonts w:cs="Calibri"/>
                <w:spacing w:val="-2"/>
                <w:sz w:val="20"/>
                <w:szCs w:val="20"/>
              </w:rPr>
            </w:pPr>
            <w:r>
              <w:rPr>
                <w:rFonts w:cs="Calibri"/>
                <w:spacing w:val="-2"/>
                <w:sz w:val="20"/>
                <w:szCs w:val="20"/>
              </w:rPr>
              <w:t>MINSAL</w:t>
            </w:r>
          </w:p>
        </w:tc>
        <w:tc>
          <w:tcPr>
            <w:tcW w:w="1235" w:type="dxa"/>
            <w:shd w:val="clear" w:color="auto" w:fill="F2F2F2" w:themeFill="background1" w:themeFillShade="F2"/>
            <w:vAlign w:val="center"/>
          </w:tcPr>
          <w:p w:rsidR="000844DE" w:rsidRPr="000844DE" w:rsidRDefault="00A45D10" w:rsidP="00861625">
            <w:pPr>
              <w:spacing w:after="0"/>
              <w:jc w:val="center"/>
              <w:rPr>
                <w:rFonts w:cs="Calibri"/>
                <w:spacing w:val="-2"/>
                <w:sz w:val="20"/>
                <w:szCs w:val="20"/>
              </w:rPr>
            </w:pPr>
            <w:r>
              <w:rPr>
                <w:rFonts w:cs="Calibri"/>
                <w:spacing w:val="-2"/>
                <w:sz w:val="20"/>
                <w:szCs w:val="20"/>
              </w:rPr>
              <w:t>MSPAS</w:t>
            </w:r>
          </w:p>
        </w:tc>
        <w:tc>
          <w:tcPr>
            <w:tcW w:w="1284" w:type="dxa"/>
            <w:shd w:val="clear" w:color="auto" w:fill="F2F2F2" w:themeFill="background1" w:themeFillShade="F2"/>
            <w:vAlign w:val="center"/>
          </w:tcPr>
          <w:p w:rsidR="000844DE" w:rsidRPr="000844DE" w:rsidRDefault="00A45D10" w:rsidP="00861625">
            <w:pPr>
              <w:spacing w:after="0"/>
              <w:jc w:val="center"/>
              <w:rPr>
                <w:rFonts w:cs="Calibri"/>
                <w:spacing w:val="-2"/>
                <w:sz w:val="20"/>
                <w:szCs w:val="20"/>
              </w:rPr>
            </w:pPr>
            <w:r>
              <w:rPr>
                <w:rFonts w:cs="Calibri"/>
                <w:spacing w:val="-2"/>
                <w:sz w:val="20"/>
                <w:szCs w:val="20"/>
              </w:rPr>
              <w:t>SS</w:t>
            </w:r>
          </w:p>
        </w:tc>
        <w:tc>
          <w:tcPr>
            <w:tcW w:w="1208" w:type="dxa"/>
            <w:shd w:val="clear" w:color="auto" w:fill="F2F2F2" w:themeFill="background1" w:themeFillShade="F2"/>
            <w:vAlign w:val="center"/>
          </w:tcPr>
          <w:p w:rsidR="000844DE" w:rsidRPr="000844DE" w:rsidRDefault="00A45D10" w:rsidP="00861625">
            <w:pPr>
              <w:spacing w:after="0"/>
              <w:jc w:val="center"/>
              <w:rPr>
                <w:rFonts w:cs="Calibri"/>
                <w:spacing w:val="-2"/>
                <w:sz w:val="20"/>
                <w:szCs w:val="20"/>
              </w:rPr>
            </w:pPr>
            <w:r>
              <w:rPr>
                <w:rFonts w:cs="Calibri"/>
                <w:spacing w:val="-2"/>
                <w:sz w:val="20"/>
                <w:szCs w:val="20"/>
              </w:rPr>
              <w:t>SS</w:t>
            </w:r>
          </w:p>
        </w:tc>
        <w:tc>
          <w:tcPr>
            <w:tcW w:w="1169" w:type="dxa"/>
            <w:shd w:val="clear" w:color="auto" w:fill="F2F2F2" w:themeFill="background1" w:themeFillShade="F2"/>
            <w:vAlign w:val="center"/>
          </w:tcPr>
          <w:p w:rsidR="000844DE" w:rsidRPr="000844DE" w:rsidRDefault="003B6E7D" w:rsidP="00861625">
            <w:pPr>
              <w:spacing w:after="0"/>
              <w:jc w:val="center"/>
              <w:rPr>
                <w:rFonts w:cs="Calibri"/>
                <w:spacing w:val="-2"/>
                <w:sz w:val="20"/>
                <w:szCs w:val="20"/>
              </w:rPr>
            </w:pPr>
            <w:r>
              <w:rPr>
                <w:rFonts w:cs="Calibri"/>
                <w:spacing w:val="-2"/>
                <w:sz w:val="20"/>
                <w:szCs w:val="20"/>
              </w:rPr>
              <w:t>MINSA</w:t>
            </w:r>
          </w:p>
        </w:tc>
        <w:tc>
          <w:tcPr>
            <w:tcW w:w="1131" w:type="dxa"/>
            <w:shd w:val="clear" w:color="auto" w:fill="F2F2F2" w:themeFill="background1" w:themeFillShade="F2"/>
            <w:vAlign w:val="center"/>
          </w:tcPr>
          <w:p w:rsidR="000844DE" w:rsidRPr="000844DE" w:rsidRDefault="003B6E7D" w:rsidP="00861625">
            <w:pPr>
              <w:spacing w:after="0"/>
              <w:jc w:val="center"/>
              <w:rPr>
                <w:rFonts w:cs="Calibri"/>
                <w:spacing w:val="-2"/>
                <w:sz w:val="20"/>
                <w:szCs w:val="20"/>
              </w:rPr>
            </w:pPr>
            <w:r>
              <w:rPr>
                <w:rFonts w:cs="Calibri"/>
                <w:spacing w:val="-2"/>
                <w:sz w:val="20"/>
                <w:szCs w:val="20"/>
              </w:rPr>
              <w:t>MINSA</w:t>
            </w:r>
          </w:p>
        </w:tc>
      </w:tr>
      <w:tr w:rsidR="00DB2F7F" w:rsidRPr="000844DE" w:rsidTr="00F23348">
        <w:tc>
          <w:tcPr>
            <w:tcW w:w="1907" w:type="dxa"/>
            <w:vMerge w:val="restart"/>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t>Sistema de la Integración Centroamericana</w:t>
            </w:r>
          </w:p>
        </w:tc>
        <w:tc>
          <w:tcPr>
            <w:tcW w:w="140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spacing w:val="-2"/>
                <w:sz w:val="20"/>
                <w:szCs w:val="20"/>
              </w:rPr>
              <w:t>SE-CCAD</w:t>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830"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35"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84"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08"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p>
        </w:tc>
        <w:tc>
          <w:tcPr>
            <w:tcW w:w="1169"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F23348">
        <w:tc>
          <w:tcPr>
            <w:tcW w:w="1907" w:type="dxa"/>
            <w:vMerge/>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p>
        </w:tc>
        <w:tc>
          <w:tcPr>
            <w:tcW w:w="1406"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spacing w:val="-2"/>
                <w:sz w:val="20"/>
                <w:szCs w:val="20"/>
              </w:rPr>
              <w:t>CAC-RUTA</w:t>
            </w:r>
          </w:p>
        </w:tc>
        <w:tc>
          <w:tcPr>
            <w:tcW w:w="1131"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830" w:type="dxa"/>
            <w:shd w:val="clear" w:color="auto" w:fill="auto"/>
            <w:vAlign w:val="center"/>
          </w:tcPr>
          <w:p w:rsidR="00DB2F7F" w:rsidRPr="000844DE" w:rsidRDefault="00DB2F7F" w:rsidP="00F23348">
            <w:pPr>
              <w:spacing w:after="0"/>
              <w:jc w:val="center"/>
              <w:rPr>
                <w:rFonts w:cs="Calibri"/>
                <w:spacing w:val="-2"/>
                <w:sz w:val="20"/>
                <w:szCs w:val="20"/>
              </w:rPr>
            </w:pPr>
          </w:p>
        </w:tc>
        <w:tc>
          <w:tcPr>
            <w:tcW w:w="1131"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35"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84"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08" w:type="dxa"/>
            <w:shd w:val="clear" w:color="auto" w:fill="auto"/>
            <w:vAlign w:val="center"/>
          </w:tcPr>
          <w:p w:rsidR="00DB2F7F" w:rsidRPr="000844DE" w:rsidRDefault="00DB2F7F" w:rsidP="00F23348">
            <w:pPr>
              <w:spacing w:after="0"/>
              <w:jc w:val="center"/>
              <w:rPr>
                <w:rFonts w:cs="Calibri"/>
                <w:spacing w:val="-2"/>
                <w:sz w:val="20"/>
                <w:szCs w:val="20"/>
              </w:rPr>
            </w:pPr>
          </w:p>
        </w:tc>
        <w:tc>
          <w:tcPr>
            <w:tcW w:w="1169"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F23348">
        <w:tc>
          <w:tcPr>
            <w:tcW w:w="1907" w:type="dxa"/>
            <w:vMerge/>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p>
        </w:tc>
        <w:tc>
          <w:tcPr>
            <w:tcW w:w="140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spacing w:val="-2"/>
                <w:sz w:val="20"/>
                <w:szCs w:val="20"/>
              </w:rPr>
              <w:t>BCIE</w:t>
            </w:r>
          </w:p>
        </w:tc>
        <w:tc>
          <w:tcPr>
            <w:tcW w:w="1131" w:type="dxa"/>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830"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35"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84"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08"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69"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F23348">
        <w:tc>
          <w:tcPr>
            <w:tcW w:w="1907" w:type="dxa"/>
            <w:vMerge w:val="restart"/>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t>Sistema Interamericano</w:t>
            </w:r>
          </w:p>
        </w:tc>
        <w:tc>
          <w:tcPr>
            <w:tcW w:w="1406" w:type="dxa"/>
            <w:vAlign w:val="center"/>
          </w:tcPr>
          <w:p w:rsidR="00DB2F7F" w:rsidRPr="000844DE" w:rsidRDefault="00DB2F7F" w:rsidP="00F23348">
            <w:pPr>
              <w:spacing w:after="0"/>
              <w:jc w:val="center"/>
              <w:rPr>
                <w:rFonts w:cs="Calibri"/>
                <w:spacing w:val="-2"/>
                <w:sz w:val="20"/>
                <w:szCs w:val="20"/>
              </w:rPr>
            </w:pPr>
            <w:r w:rsidRPr="000844DE">
              <w:rPr>
                <w:rFonts w:cs="Calibri"/>
                <w:spacing w:val="-2"/>
                <w:sz w:val="20"/>
                <w:szCs w:val="20"/>
              </w:rPr>
              <w:t>IICA</w:t>
            </w:r>
          </w:p>
        </w:tc>
        <w:tc>
          <w:tcPr>
            <w:tcW w:w="1131" w:type="dxa"/>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830"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86"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35"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84"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08"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69"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F23348">
        <w:tc>
          <w:tcPr>
            <w:tcW w:w="1907" w:type="dxa"/>
            <w:vMerge/>
            <w:vAlign w:val="center"/>
          </w:tcPr>
          <w:p w:rsidR="00DB2F7F" w:rsidRPr="000844DE" w:rsidRDefault="00DB2F7F" w:rsidP="00F23348">
            <w:pPr>
              <w:spacing w:after="0"/>
              <w:jc w:val="center"/>
              <w:rPr>
                <w:rFonts w:cs="Calibri"/>
                <w:b/>
                <w:spacing w:val="-2"/>
                <w:sz w:val="20"/>
                <w:szCs w:val="20"/>
              </w:rPr>
            </w:pPr>
          </w:p>
        </w:tc>
        <w:tc>
          <w:tcPr>
            <w:tcW w:w="140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spacing w:val="-2"/>
                <w:sz w:val="20"/>
                <w:szCs w:val="20"/>
              </w:rPr>
              <w:t>FAO</w:t>
            </w:r>
          </w:p>
        </w:tc>
        <w:tc>
          <w:tcPr>
            <w:tcW w:w="1131" w:type="dxa"/>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830"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35"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84"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08"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69"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F23348">
        <w:tc>
          <w:tcPr>
            <w:tcW w:w="1907" w:type="dxa"/>
            <w:vMerge/>
            <w:vAlign w:val="center"/>
          </w:tcPr>
          <w:p w:rsidR="00DB2F7F" w:rsidRPr="000844DE" w:rsidRDefault="00DB2F7F" w:rsidP="00F23348">
            <w:pPr>
              <w:spacing w:after="0"/>
              <w:jc w:val="center"/>
              <w:rPr>
                <w:rFonts w:cs="Calibri"/>
                <w:b/>
                <w:spacing w:val="-2"/>
                <w:sz w:val="20"/>
                <w:szCs w:val="20"/>
              </w:rPr>
            </w:pPr>
          </w:p>
        </w:tc>
        <w:tc>
          <w:tcPr>
            <w:tcW w:w="1406" w:type="dxa"/>
            <w:vAlign w:val="center"/>
          </w:tcPr>
          <w:p w:rsidR="00DB2F7F" w:rsidRPr="000844DE" w:rsidRDefault="00DB2F7F" w:rsidP="00F23348">
            <w:pPr>
              <w:spacing w:after="0"/>
              <w:jc w:val="center"/>
              <w:rPr>
                <w:rFonts w:cs="Calibri"/>
                <w:spacing w:val="-2"/>
                <w:sz w:val="20"/>
                <w:szCs w:val="20"/>
              </w:rPr>
            </w:pPr>
            <w:r w:rsidRPr="000844DE">
              <w:rPr>
                <w:rFonts w:cs="Calibri"/>
                <w:spacing w:val="-2"/>
                <w:sz w:val="20"/>
                <w:szCs w:val="20"/>
              </w:rPr>
              <w:t>BID</w:t>
            </w:r>
          </w:p>
        </w:tc>
        <w:tc>
          <w:tcPr>
            <w:tcW w:w="1131" w:type="dxa"/>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830"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86"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35"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84"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08"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69"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F23348">
        <w:tc>
          <w:tcPr>
            <w:tcW w:w="1907" w:type="dxa"/>
            <w:vMerge w:val="restart"/>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t>Sistema de Naciones Unidas</w:t>
            </w:r>
          </w:p>
        </w:tc>
        <w:tc>
          <w:tcPr>
            <w:tcW w:w="140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lang w:val="en-US"/>
              </w:rPr>
            </w:pPr>
            <w:r w:rsidRPr="000844DE">
              <w:rPr>
                <w:rFonts w:cs="Calibri"/>
                <w:spacing w:val="-2"/>
                <w:sz w:val="20"/>
                <w:szCs w:val="20"/>
                <w:lang w:val="en-US"/>
              </w:rPr>
              <w:t>CEPAL</w:t>
            </w:r>
          </w:p>
        </w:tc>
        <w:tc>
          <w:tcPr>
            <w:tcW w:w="1131" w:type="dxa"/>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830"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35"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84"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08"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69"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F23348">
        <w:tc>
          <w:tcPr>
            <w:tcW w:w="1907" w:type="dxa"/>
            <w:vMerge/>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p>
        </w:tc>
        <w:tc>
          <w:tcPr>
            <w:tcW w:w="1406" w:type="dxa"/>
            <w:shd w:val="clear" w:color="auto" w:fill="auto"/>
            <w:vAlign w:val="center"/>
          </w:tcPr>
          <w:p w:rsidR="00DB2F7F" w:rsidRPr="000844DE" w:rsidRDefault="00DB2F7F" w:rsidP="00F23348">
            <w:pPr>
              <w:spacing w:after="0"/>
              <w:jc w:val="center"/>
              <w:rPr>
                <w:rFonts w:cs="Calibri"/>
                <w:spacing w:val="-2"/>
                <w:sz w:val="20"/>
                <w:szCs w:val="20"/>
                <w:lang w:val="en-US"/>
              </w:rPr>
            </w:pPr>
            <w:r w:rsidRPr="000844DE">
              <w:rPr>
                <w:rFonts w:cs="Calibri"/>
                <w:spacing w:val="-2"/>
                <w:sz w:val="20"/>
                <w:szCs w:val="20"/>
                <w:lang w:val="en-US"/>
              </w:rPr>
              <w:t>FAO</w:t>
            </w:r>
          </w:p>
        </w:tc>
        <w:tc>
          <w:tcPr>
            <w:tcW w:w="1131" w:type="dxa"/>
            <w:shd w:val="clear" w:color="auto" w:fill="auto"/>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830"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35"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84"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08"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69"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F23348">
        <w:tc>
          <w:tcPr>
            <w:tcW w:w="1907" w:type="dxa"/>
            <w:vMerge/>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p>
        </w:tc>
        <w:tc>
          <w:tcPr>
            <w:tcW w:w="140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lang w:val="en-US"/>
              </w:rPr>
            </w:pPr>
            <w:r w:rsidRPr="000844DE">
              <w:rPr>
                <w:rFonts w:cs="Calibri"/>
                <w:spacing w:val="-2"/>
                <w:sz w:val="20"/>
                <w:szCs w:val="20"/>
                <w:lang w:val="en-US"/>
              </w:rPr>
              <w:t>GEF</w:t>
            </w:r>
          </w:p>
        </w:tc>
        <w:tc>
          <w:tcPr>
            <w:tcW w:w="1131" w:type="dxa"/>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830"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35"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84"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08"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69"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F23348">
        <w:tc>
          <w:tcPr>
            <w:tcW w:w="1907" w:type="dxa"/>
            <w:vMerge/>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p>
        </w:tc>
        <w:tc>
          <w:tcPr>
            <w:tcW w:w="1406" w:type="dxa"/>
            <w:shd w:val="clear" w:color="auto" w:fill="auto"/>
            <w:vAlign w:val="center"/>
          </w:tcPr>
          <w:p w:rsidR="00DB2F7F" w:rsidRPr="000844DE" w:rsidRDefault="00DB2F7F" w:rsidP="00F23348">
            <w:pPr>
              <w:spacing w:after="0"/>
              <w:jc w:val="center"/>
              <w:rPr>
                <w:rFonts w:cs="Calibri"/>
                <w:spacing w:val="-2"/>
                <w:sz w:val="20"/>
                <w:szCs w:val="20"/>
                <w:lang w:val="en-US"/>
              </w:rPr>
            </w:pPr>
            <w:r w:rsidRPr="000844DE">
              <w:rPr>
                <w:rFonts w:cs="Calibri"/>
                <w:spacing w:val="-2"/>
                <w:sz w:val="20"/>
                <w:szCs w:val="20"/>
                <w:lang w:val="en-US"/>
              </w:rPr>
              <w:t>IBRD</w:t>
            </w:r>
          </w:p>
        </w:tc>
        <w:tc>
          <w:tcPr>
            <w:tcW w:w="1131" w:type="dxa"/>
            <w:shd w:val="clear" w:color="auto" w:fill="auto"/>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830"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35"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84"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08"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69"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auto"/>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F23348">
        <w:tc>
          <w:tcPr>
            <w:tcW w:w="1907" w:type="dxa"/>
            <w:vMerge/>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p>
        </w:tc>
        <w:tc>
          <w:tcPr>
            <w:tcW w:w="140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lang w:val="en-US"/>
              </w:rPr>
            </w:pPr>
            <w:r w:rsidRPr="000844DE">
              <w:rPr>
                <w:rFonts w:cs="Calibri"/>
                <w:spacing w:val="-2"/>
                <w:sz w:val="20"/>
                <w:szCs w:val="20"/>
                <w:lang w:val="en-US"/>
              </w:rPr>
              <w:t>PNUD</w:t>
            </w:r>
          </w:p>
        </w:tc>
        <w:tc>
          <w:tcPr>
            <w:tcW w:w="1131" w:type="dxa"/>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830"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35"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84"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08"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69"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F23348">
        <w:tc>
          <w:tcPr>
            <w:tcW w:w="1907" w:type="dxa"/>
            <w:vMerge w:val="restart"/>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t>Agencias de cooperación</w:t>
            </w:r>
            <w:r>
              <w:rPr>
                <w:rFonts w:cs="Calibri"/>
                <w:b/>
                <w:spacing w:val="-2"/>
                <w:sz w:val="20"/>
                <w:szCs w:val="20"/>
              </w:rPr>
              <w:t xml:space="preserve"> internacional</w:t>
            </w:r>
          </w:p>
        </w:tc>
        <w:tc>
          <w:tcPr>
            <w:tcW w:w="1406" w:type="dxa"/>
            <w:vAlign w:val="center"/>
          </w:tcPr>
          <w:p w:rsidR="00DB2F7F" w:rsidRPr="000844DE" w:rsidRDefault="00DB2F7F" w:rsidP="00F23348">
            <w:pPr>
              <w:spacing w:after="0"/>
              <w:jc w:val="center"/>
              <w:rPr>
                <w:rFonts w:cs="Calibri"/>
                <w:spacing w:val="-2"/>
                <w:sz w:val="20"/>
                <w:szCs w:val="20"/>
              </w:rPr>
            </w:pPr>
            <w:r>
              <w:rPr>
                <w:rFonts w:cs="Calibri"/>
                <w:spacing w:val="-2"/>
                <w:sz w:val="20"/>
                <w:szCs w:val="20"/>
              </w:rPr>
              <w:t>AECID</w:t>
            </w:r>
          </w:p>
        </w:tc>
        <w:tc>
          <w:tcPr>
            <w:tcW w:w="1131" w:type="dxa"/>
            <w:vAlign w:val="center"/>
          </w:tcPr>
          <w:p w:rsidR="00DB2F7F" w:rsidRPr="000844DE" w:rsidRDefault="00DB2F7F" w:rsidP="00F23348">
            <w:pPr>
              <w:spacing w:after="0"/>
              <w:jc w:val="center"/>
              <w:rPr>
                <w:rFonts w:cs="Calibri"/>
                <w:spacing w:val="-2"/>
                <w:sz w:val="20"/>
                <w:szCs w:val="20"/>
              </w:rPr>
            </w:pPr>
          </w:p>
        </w:tc>
        <w:tc>
          <w:tcPr>
            <w:tcW w:w="1830"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vAlign w:val="center"/>
          </w:tcPr>
          <w:p w:rsidR="00DB2F7F" w:rsidRPr="000844DE" w:rsidRDefault="00DB2F7F" w:rsidP="00F23348">
            <w:pPr>
              <w:spacing w:after="0"/>
              <w:jc w:val="center"/>
              <w:rPr>
                <w:rFonts w:cs="Calibri"/>
                <w:spacing w:val="-2"/>
                <w:sz w:val="20"/>
                <w:szCs w:val="20"/>
              </w:rPr>
            </w:pPr>
          </w:p>
        </w:tc>
        <w:tc>
          <w:tcPr>
            <w:tcW w:w="1186"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35"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84"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08"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69" w:type="dxa"/>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vAlign w:val="center"/>
          </w:tcPr>
          <w:p w:rsidR="00DB2F7F" w:rsidRPr="000844DE" w:rsidRDefault="00DB2F7F" w:rsidP="00F23348">
            <w:pPr>
              <w:spacing w:after="0"/>
              <w:jc w:val="center"/>
              <w:rPr>
                <w:rFonts w:cs="Calibri"/>
                <w:spacing w:val="-2"/>
                <w:sz w:val="20"/>
                <w:szCs w:val="20"/>
              </w:rPr>
            </w:pPr>
          </w:p>
        </w:tc>
      </w:tr>
      <w:tr w:rsidR="00DB2F7F" w:rsidRPr="000844DE" w:rsidTr="00F23348">
        <w:tc>
          <w:tcPr>
            <w:tcW w:w="1907" w:type="dxa"/>
            <w:vMerge/>
            <w:vAlign w:val="center"/>
          </w:tcPr>
          <w:p w:rsidR="00DB2F7F" w:rsidRPr="000844DE" w:rsidRDefault="00DB2F7F" w:rsidP="00F23348">
            <w:pPr>
              <w:spacing w:after="0"/>
              <w:jc w:val="center"/>
              <w:rPr>
                <w:rFonts w:cs="Calibri"/>
                <w:b/>
                <w:spacing w:val="-2"/>
                <w:sz w:val="20"/>
                <w:szCs w:val="20"/>
              </w:rPr>
            </w:pPr>
          </w:p>
        </w:tc>
        <w:tc>
          <w:tcPr>
            <w:tcW w:w="1406" w:type="dxa"/>
            <w:shd w:val="clear" w:color="auto" w:fill="F2F2F2" w:themeFill="background1" w:themeFillShade="F2"/>
            <w:vAlign w:val="center"/>
          </w:tcPr>
          <w:p w:rsidR="00DB2F7F" w:rsidRDefault="00DB2F7F" w:rsidP="00F23348">
            <w:pPr>
              <w:spacing w:after="0"/>
              <w:jc w:val="center"/>
              <w:rPr>
                <w:rFonts w:cs="Calibri"/>
                <w:spacing w:val="-2"/>
                <w:sz w:val="20"/>
                <w:szCs w:val="20"/>
              </w:rPr>
            </w:pPr>
            <w:r>
              <w:rPr>
                <w:rFonts w:cs="Calibri"/>
                <w:spacing w:val="-2"/>
                <w:sz w:val="20"/>
                <w:szCs w:val="20"/>
              </w:rPr>
              <w:t>AFD</w:t>
            </w:r>
          </w:p>
        </w:tc>
        <w:tc>
          <w:tcPr>
            <w:tcW w:w="1131" w:type="dxa"/>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p>
        </w:tc>
        <w:tc>
          <w:tcPr>
            <w:tcW w:w="1830" w:type="dxa"/>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p>
        </w:tc>
        <w:tc>
          <w:tcPr>
            <w:tcW w:w="1131" w:type="dxa"/>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p>
        </w:tc>
        <w:tc>
          <w:tcPr>
            <w:tcW w:w="1186" w:type="dxa"/>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p>
        </w:tc>
        <w:tc>
          <w:tcPr>
            <w:tcW w:w="1235" w:type="dxa"/>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p>
        </w:tc>
        <w:tc>
          <w:tcPr>
            <w:tcW w:w="1284" w:type="dxa"/>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p>
        </w:tc>
        <w:tc>
          <w:tcPr>
            <w:tcW w:w="1208" w:type="dxa"/>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169" w:type="dxa"/>
            <w:shd w:val="clear" w:color="auto" w:fill="F2F2F2" w:themeFill="background1" w:themeFillShade="F2"/>
            <w:vAlign w:val="center"/>
          </w:tcPr>
          <w:p w:rsidR="00DB2F7F" w:rsidRPr="000844DE" w:rsidRDefault="00DB2F7F" w:rsidP="00F23348">
            <w:pPr>
              <w:spacing w:after="0"/>
              <w:jc w:val="center"/>
              <w:rPr>
                <w:rFonts w:cs="Calibri"/>
                <w:b/>
                <w:spacing w:val="-2"/>
                <w:sz w:val="20"/>
                <w:szCs w:val="20"/>
              </w:rPr>
            </w:pP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p>
        </w:tc>
      </w:tr>
      <w:tr w:rsidR="00DB2F7F" w:rsidRPr="000844DE" w:rsidTr="00F23348">
        <w:tc>
          <w:tcPr>
            <w:tcW w:w="1907" w:type="dxa"/>
            <w:vMerge/>
            <w:vAlign w:val="center"/>
          </w:tcPr>
          <w:p w:rsidR="00DB2F7F" w:rsidRPr="000844DE" w:rsidRDefault="00DB2F7F" w:rsidP="00F23348">
            <w:pPr>
              <w:spacing w:after="0"/>
              <w:jc w:val="center"/>
              <w:rPr>
                <w:rFonts w:cs="Calibri"/>
                <w:b/>
                <w:spacing w:val="-2"/>
                <w:sz w:val="20"/>
                <w:szCs w:val="20"/>
              </w:rPr>
            </w:pPr>
          </w:p>
        </w:tc>
        <w:tc>
          <w:tcPr>
            <w:tcW w:w="1406" w:type="dxa"/>
            <w:vAlign w:val="center"/>
          </w:tcPr>
          <w:p w:rsidR="00DB2F7F" w:rsidRDefault="00DB2F7F" w:rsidP="00F23348">
            <w:pPr>
              <w:spacing w:after="0"/>
              <w:jc w:val="center"/>
              <w:rPr>
                <w:rFonts w:cs="Calibri"/>
                <w:spacing w:val="-2"/>
                <w:sz w:val="20"/>
                <w:szCs w:val="20"/>
              </w:rPr>
            </w:pPr>
            <w:r>
              <w:rPr>
                <w:rFonts w:cs="Calibri"/>
                <w:spacing w:val="-2"/>
                <w:sz w:val="20"/>
                <w:szCs w:val="20"/>
              </w:rPr>
              <w:t>GIZ</w:t>
            </w:r>
          </w:p>
        </w:tc>
        <w:tc>
          <w:tcPr>
            <w:tcW w:w="1131" w:type="dxa"/>
            <w:vAlign w:val="center"/>
          </w:tcPr>
          <w:p w:rsidR="00DB2F7F" w:rsidRPr="000844DE" w:rsidRDefault="00DB2F7F" w:rsidP="00F23348">
            <w:pPr>
              <w:spacing w:after="0"/>
              <w:jc w:val="center"/>
              <w:rPr>
                <w:rFonts w:cs="Calibri"/>
                <w:b/>
                <w:spacing w:val="-2"/>
                <w:sz w:val="20"/>
                <w:szCs w:val="20"/>
              </w:rPr>
            </w:pPr>
          </w:p>
        </w:tc>
        <w:tc>
          <w:tcPr>
            <w:tcW w:w="1830" w:type="dxa"/>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131" w:type="dxa"/>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186" w:type="dxa"/>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235" w:type="dxa"/>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284" w:type="dxa"/>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208" w:type="dxa"/>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169" w:type="dxa"/>
            <w:vAlign w:val="center"/>
          </w:tcPr>
          <w:p w:rsidR="00DB2F7F" w:rsidRPr="000844DE" w:rsidRDefault="00DB2F7F" w:rsidP="00F23348">
            <w:pPr>
              <w:spacing w:after="0"/>
              <w:jc w:val="center"/>
              <w:rPr>
                <w:rFonts w:cs="Calibri"/>
                <w:b/>
                <w:spacing w:val="-2"/>
                <w:sz w:val="20"/>
                <w:szCs w:val="20"/>
              </w:rPr>
            </w:pPr>
            <w:r w:rsidRPr="000844DE">
              <w:rPr>
                <w:rFonts w:cs="Calibri"/>
                <w:b/>
                <w:spacing w:val="-2"/>
                <w:sz w:val="20"/>
                <w:szCs w:val="20"/>
              </w:rPr>
              <w:sym w:font="Wingdings" w:char="F0FC"/>
            </w:r>
          </w:p>
        </w:tc>
        <w:tc>
          <w:tcPr>
            <w:tcW w:w="1131" w:type="dxa"/>
            <w:vAlign w:val="center"/>
          </w:tcPr>
          <w:p w:rsidR="00DB2F7F" w:rsidRPr="000844DE" w:rsidRDefault="00DB2F7F" w:rsidP="00F23348">
            <w:pPr>
              <w:spacing w:after="0"/>
              <w:jc w:val="center"/>
              <w:rPr>
                <w:rFonts w:cs="Calibri"/>
                <w:spacing w:val="-2"/>
                <w:sz w:val="20"/>
                <w:szCs w:val="20"/>
              </w:rPr>
            </w:pPr>
          </w:p>
        </w:tc>
      </w:tr>
      <w:tr w:rsidR="00DB2F7F" w:rsidRPr="000844DE" w:rsidTr="00F23348">
        <w:tc>
          <w:tcPr>
            <w:tcW w:w="1907" w:type="dxa"/>
            <w:vMerge/>
            <w:vAlign w:val="center"/>
          </w:tcPr>
          <w:p w:rsidR="00DB2F7F" w:rsidRPr="000844DE" w:rsidRDefault="00DB2F7F" w:rsidP="00F23348">
            <w:pPr>
              <w:spacing w:after="0"/>
              <w:jc w:val="center"/>
              <w:rPr>
                <w:rFonts w:cs="Calibri"/>
                <w:b/>
                <w:spacing w:val="-2"/>
                <w:sz w:val="20"/>
                <w:szCs w:val="20"/>
              </w:rPr>
            </w:pPr>
          </w:p>
        </w:tc>
        <w:tc>
          <w:tcPr>
            <w:tcW w:w="140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Pr>
                <w:rFonts w:cs="Calibri"/>
                <w:spacing w:val="-2"/>
                <w:sz w:val="20"/>
                <w:szCs w:val="20"/>
              </w:rPr>
              <w:t>JICA</w:t>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830"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35"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84"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208"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69"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F23348">
            <w:pPr>
              <w:spacing w:after="0"/>
              <w:jc w:val="center"/>
              <w:rPr>
                <w:rFonts w:cs="Calibri"/>
                <w:spacing w:val="-2"/>
                <w:sz w:val="20"/>
                <w:szCs w:val="20"/>
              </w:rPr>
            </w:pPr>
            <w:r w:rsidRPr="000844DE">
              <w:rPr>
                <w:rFonts w:cs="Calibri"/>
                <w:b/>
                <w:spacing w:val="-2"/>
                <w:sz w:val="20"/>
                <w:szCs w:val="20"/>
              </w:rPr>
              <w:sym w:font="Wingdings" w:char="F0FC"/>
            </w:r>
          </w:p>
        </w:tc>
      </w:tr>
      <w:tr w:rsidR="001C0480" w:rsidRPr="000844DE" w:rsidTr="001C0480">
        <w:tc>
          <w:tcPr>
            <w:tcW w:w="1907" w:type="dxa"/>
            <w:vMerge w:val="restart"/>
            <w:tcBorders>
              <w:top w:val="single" w:sz="4" w:space="0" w:color="auto"/>
            </w:tcBorders>
            <w:vAlign w:val="center"/>
          </w:tcPr>
          <w:p w:rsidR="001C0480" w:rsidRPr="000844DE" w:rsidRDefault="001C0480" w:rsidP="00861625">
            <w:pPr>
              <w:spacing w:after="0"/>
              <w:jc w:val="center"/>
              <w:rPr>
                <w:rFonts w:cs="Calibri"/>
                <w:b/>
                <w:spacing w:val="-2"/>
                <w:sz w:val="20"/>
                <w:szCs w:val="20"/>
              </w:rPr>
            </w:pPr>
            <w:r w:rsidRPr="000844DE">
              <w:rPr>
                <w:rFonts w:cs="Calibri"/>
                <w:b/>
                <w:spacing w:val="-2"/>
                <w:sz w:val="20"/>
                <w:szCs w:val="20"/>
              </w:rPr>
              <w:t>Investigación y enseñanza</w:t>
            </w:r>
          </w:p>
        </w:tc>
        <w:tc>
          <w:tcPr>
            <w:tcW w:w="1406" w:type="dxa"/>
            <w:vAlign w:val="center"/>
          </w:tcPr>
          <w:p w:rsidR="001C0480" w:rsidRPr="000844DE" w:rsidRDefault="001C0480" w:rsidP="00861625">
            <w:pPr>
              <w:spacing w:after="0"/>
              <w:jc w:val="center"/>
              <w:rPr>
                <w:rFonts w:cs="Calibri"/>
                <w:spacing w:val="-2"/>
                <w:sz w:val="20"/>
                <w:szCs w:val="20"/>
              </w:rPr>
            </w:pPr>
          </w:p>
        </w:tc>
        <w:tc>
          <w:tcPr>
            <w:tcW w:w="1131" w:type="dxa"/>
            <w:vAlign w:val="center"/>
          </w:tcPr>
          <w:p w:rsidR="001C0480" w:rsidRPr="000844DE" w:rsidRDefault="001C0480" w:rsidP="00861625">
            <w:pPr>
              <w:spacing w:after="0"/>
              <w:jc w:val="center"/>
              <w:rPr>
                <w:rFonts w:cs="Calibri"/>
                <w:spacing w:val="-2"/>
                <w:sz w:val="20"/>
                <w:szCs w:val="20"/>
              </w:rPr>
            </w:pPr>
          </w:p>
        </w:tc>
        <w:tc>
          <w:tcPr>
            <w:tcW w:w="1830" w:type="dxa"/>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t>IIRB Humboldt</w:t>
            </w:r>
          </w:p>
        </w:tc>
        <w:tc>
          <w:tcPr>
            <w:tcW w:w="1131" w:type="dxa"/>
            <w:vAlign w:val="center"/>
          </w:tcPr>
          <w:p w:rsidR="001C0480" w:rsidRPr="000844DE" w:rsidRDefault="001C0480" w:rsidP="00861625">
            <w:pPr>
              <w:spacing w:after="0"/>
              <w:jc w:val="center"/>
              <w:rPr>
                <w:rFonts w:cs="Calibri"/>
                <w:spacing w:val="-2"/>
                <w:sz w:val="20"/>
                <w:szCs w:val="20"/>
              </w:rPr>
            </w:pPr>
          </w:p>
        </w:tc>
        <w:tc>
          <w:tcPr>
            <w:tcW w:w="1186" w:type="dxa"/>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t>CENTA</w:t>
            </w:r>
          </w:p>
        </w:tc>
        <w:tc>
          <w:tcPr>
            <w:tcW w:w="1235" w:type="dxa"/>
            <w:vAlign w:val="center"/>
          </w:tcPr>
          <w:p w:rsidR="001C0480" w:rsidRPr="000844DE" w:rsidRDefault="001C0480" w:rsidP="00861625">
            <w:pPr>
              <w:spacing w:after="0"/>
              <w:jc w:val="center"/>
              <w:rPr>
                <w:rFonts w:cs="Calibri"/>
                <w:spacing w:val="-2"/>
                <w:sz w:val="20"/>
                <w:szCs w:val="20"/>
              </w:rPr>
            </w:pPr>
          </w:p>
        </w:tc>
        <w:tc>
          <w:tcPr>
            <w:tcW w:w="1284" w:type="dxa"/>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t>Zamorano</w:t>
            </w:r>
          </w:p>
        </w:tc>
        <w:tc>
          <w:tcPr>
            <w:tcW w:w="1208" w:type="dxa"/>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t>INIFAP</w:t>
            </w:r>
          </w:p>
          <w:p w:rsidR="001C0480" w:rsidRPr="000844DE" w:rsidRDefault="001C0480" w:rsidP="00861625">
            <w:pPr>
              <w:spacing w:after="0"/>
              <w:jc w:val="center"/>
              <w:rPr>
                <w:rFonts w:cs="Calibri"/>
                <w:spacing w:val="-2"/>
                <w:sz w:val="20"/>
                <w:szCs w:val="20"/>
              </w:rPr>
            </w:pPr>
            <w:r w:rsidRPr="000844DE">
              <w:rPr>
                <w:rFonts w:cs="Calibri"/>
                <w:spacing w:val="-2"/>
                <w:sz w:val="20"/>
                <w:szCs w:val="20"/>
              </w:rPr>
              <w:t>ECOSUR</w:t>
            </w:r>
          </w:p>
        </w:tc>
        <w:tc>
          <w:tcPr>
            <w:tcW w:w="1169" w:type="dxa"/>
            <w:vAlign w:val="center"/>
          </w:tcPr>
          <w:p w:rsidR="001C0480" w:rsidRPr="000844DE" w:rsidRDefault="001C0480" w:rsidP="00861625">
            <w:pPr>
              <w:spacing w:after="0"/>
              <w:jc w:val="center"/>
              <w:rPr>
                <w:rFonts w:cs="Calibri"/>
                <w:spacing w:val="-2"/>
                <w:sz w:val="20"/>
                <w:szCs w:val="20"/>
              </w:rPr>
            </w:pPr>
          </w:p>
        </w:tc>
        <w:tc>
          <w:tcPr>
            <w:tcW w:w="1131" w:type="dxa"/>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t>STRI</w:t>
            </w:r>
          </w:p>
        </w:tc>
      </w:tr>
      <w:tr w:rsidR="001C0480" w:rsidRPr="000844DE" w:rsidTr="001C0480">
        <w:tc>
          <w:tcPr>
            <w:tcW w:w="1907" w:type="dxa"/>
            <w:vMerge/>
            <w:vAlign w:val="center"/>
          </w:tcPr>
          <w:p w:rsidR="001C0480" w:rsidRPr="000844DE" w:rsidRDefault="001C0480" w:rsidP="00861625">
            <w:pPr>
              <w:spacing w:after="0"/>
              <w:jc w:val="center"/>
              <w:rPr>
                <w:rFonts w:cs="Calibri"/>
                <w:b/>
                <w:spacing w:val="-2"/>
                <w:sz w:val="20"/>
                <w:szCs w:val="20"/>
              </w:rPr>
            </w:pPr>
          </w:p>
        </w:tc>
        <w:tc>
          <w:tcPr>
            <w:tcW w:w="1406" w:type="dxa"/>
            <w:shd w:val="clear" w:color="auto" w:fill="F2F2F2" w:themeFill="background1" w:themeFillShade="F2"/>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t>CATIE</w:t>
            </w:r>
          </w:p>
        </w:tc>
        <w:tc>
          <w:tcPr>
            <w:tcW w:w="1131" w:type="dxa"/>
            <w:shd w:val="clear" w:color="auto" w:fill="F2F2F2" w:themeFill="background1" w:themeFillShade="F2"/>
            <w:vAlign w:val="center"/>
          </w:tcPr>
          <w:p w:rsidR="001C0480" w:rsidRPr="000844DE" w:rsidRDefault="001C0480" w:rsidP="00861625">
            <w:pPr>
              <w:spacing w:after="0"/>
              <w:jc w:val="center"/>
              <w:rPr>
                <w:rFonts w:cs="Calibri"/>
                <w:b/>
                <w:spacing w:val="-2"/>
                <w:sz w:val="20"/>
                <w:szCs w:val="20"/>
              </w:rPr>
            </w:pPr>
            <w:r w:rsidRPr="000844DE">
              <w:rPr>
                <w:rFonts w:cs="Calibri"/>
                <w:b/>
                <w:spacing w:val="-2"/>
                <w:sz w:val="20"/>
                <w:szCs w:val="20"/>
              </w:rPr>
              <w:sym w:font="Wingdings" w:char="F0FC"/>
            </w:r>
          </w:p>
        </w:tc>
        <w:tc>
          <w:tcPr>
            <w:tcW w:w="1830" w:type="dxa"/>
            <w:shd w:val="clear" w:color="auto" w:fill="F2F2F2" w:themeFill="background1" w:themeFillShade="F2"/>
            <w:vAlign w:val="center"/>
          </w:tcPr>
          <w:p w:rsidR="001C0480" w:rsidRPr="000844DE" w:rsidRDefault="001C0480" w:rsidP="00861625">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1C0480" w:rsidRPr="000844DE" w:rsidRDefault="001C0480" w:rsidP="00861625">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F2F2F2" w:themeFill="background1" w:themeFillShade="F2"/>
            <w:vAlign w:val="center"/>
          </w:tcPr>
          <w:p w:rsidR="001C0480" w:rsidRPr="000844DE" w:rsidRDefault="001C0480" w:rsidP="00861625">
            <w:pPr>
              <w:spacing w:after="0"/>
              <w:jc w:val="center"/>
              <w:rPr>
                <w:rFonts w:cs="Calibri"/>
                <w:spacing w:val="-2"/>
                <w:sz w:val="20"/>
                <w:szCs w:val="20"/>
              </w:rPr>
            </w:pPr>
            <w:r w:rsidRPr="000844DE">
              <w:rPr>
                <w:rFonts w:cs="Calibri"/>
                <w:b/>
                <w:spacing w:val="-2"/>
                <w:sz w:val="20"/>
                <w:szCs w:val="20"/>
              </w:rPr>
              <w:sym w:font="Wingdings" w:char="F0FC"/>
            </w:r>
          </w:p>
        </w:tc>
        <w:tc>
          <w:tcPr>
            <w:tcW w:w="1235" w:type="dxa"/>
            <w:shd w:val="clear" w:color="auto" w:fill="F2F2F2" w:themeFill="background1" w:themeFillShade="F2"/>
            <w:vAlign w:val="center"/>
          </w:tcPr>
          <w:p w:rsidR="001C0480" w:rsidRPr="000844DE" w:rsidRDefault="001C0480" w:rsidP="00861625">
            <w:pPr>
              <w:spacing w:after="0"/>
              <w:jc w:val="center"/>
              <w:rPr>
                <w:rFonts w:cs="Calibri"/>
                <w:spacing w:val="-2"/>
                <w:sz w:val="20"/>
                <w:szCs w:val="20"/>
              </w:rPr>
            </w:pPr>
            <w:r w:rsidRPr="000844DE">
              <w:rPr>
                <w:rFonts w:cs="Calibri"/>
                <w:b/>
                <w:spacing w:val="-2"/>
                <w:sz w:val="20"/>
                <w:szCs w:val="20"/>
              </w:rPr>
              <w:sym w:font="Wingdings" w:char="F0FC"/>
            </w:r>
          </w:p>
        </w:tc>
        <w:tc>
          <w:tcPr>
            <w:tcW w:w="1284" w:type="dxa"/>
            <w:shd w:val="clear" w:color="auto" w:fill="F2F2F2" w:themeFill="background1" w:themeFillShade="F2"/>
            <w:vAlign w:val="center"/>
          </w:tcPr>
          <w:p w:rsidR="001C0480" w:rsidRPr="000844DE" w:rsidRDefault="001C0480" w:rsidP="00861625">
            <w:pPr>
              <w:spacing w:after="0"/>
              <w:jc w:val="center"/>
              <w:rPr>
                <w:rFonts w:cs="Calibri"/>
                <w:spacing w:val="-2"/>
                <w:sz w:val="20"/>
                <w:szCs w:val="20"/>
              </w:rPr>
            </w:pPr>
            <w:r w:rsidRPr="000844DE">
              <w:rPr>
                <w:rFonts w:cs="Calibri"/>
                <w:b/>
                <w:spacing w:val="-2"/>
                <w:sz w:val="20"/>
                <w:szCs w:val="20"/>
              </w:rPr>
              <w:sym w:font="Wingdings" w:char="F0FC"/>
            </w:r>
          </w:p>
        </w:tc>
        <w:tc>
          <w:tcPr>
            <w:tcW w:w="1208" w:type="dxa"/>
            <w:shd w:val="clear" w:color="auto" w:fill="F2F2F2" w:themeFill="background1" w:themeFillShade="F2"/>
            <w:vAlign w:val="center"/>
          </w:tcPr>
          <w:p w:rsidR="001C0480" w:rsidRPr="000844DE" w:rsidRDefault="001C0480" w:rsidP="00861625">
            <w:pPr>
              <w:spacing w:after="0"/>
              <w:jc w:val="center"/>
              <w:rPr>
                <w:rFonts w:cs="Calibri"/>
                <w:spacing w:val="-2"/>
                <w:sz w:val="20"/>
                <w:szCs w:val="20"/>
              </w:rPr>
            </w:pPr>
            <w:r w:rsidRPr="000844DE">
              <w:rPr>
                <w:rFonts w:cs="Calibri"/>
                <w:b/>
                <w:spacing w:val="-2"/>
                <w:sz w:val="20"/>
                <w:szCs w:val="20"/>
              </w:rPr>
              <w:sym w:font="Wingdings" w:char="F0FC"/>
            </w:r>
          </w:p>
        </w:tc>
        <w:tc>
          <w:tcPr>
            <w:tcW w:w="1169" w:type="dxa"/>
            <w:shd w:val="clear" w:color="auto" w:fill="F2F2F2" w:themeFill="background1" w:themeFillShade="F2"/>
            <w:vAlign w:val="center"/>
          </w:tcPr>
          <w:p w:rsidR="001C0480" w:rsidRPr="000844DE" w:rsidRDefault="001C0480" w:rsidP="00861625">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1C0480" w:rsidRPr="000844DE" w:rsidRDefault="001C0480" w:rsidP="00861625">
            <w:pPr>
              <w:spacing w:after="0"/>
              <w:jc w:val="center"/>
              <w:rPr>
                <w:rFonts w:cs="Calibri"/>
                <w:spacing w:val="-2"/>
                <w:sz w:val="20"/>
                <w:szCs w:val="20"/>
              </w:rPr>
            </w:pPr>
            <w:r w:rsidRPr="000844DE">
              <w:rPr>
                <w:rFonts w:cs="Calibri"/>
                <w:b/>
                <w:spacing w:val="-2"/>
                <w:sz w:val="20"/>
                <w:szCs w:val="20"/>
              </w:rPr>
              <w:sym w:font="Wingdings" w:char="F0FC"/>
            </w:r>
          </w:p>
        </w:tc>
      </w:tr>
      <w:tr w:rsidR="001C0480" w:rsidRPr="000844DE" w:rsidTr="001C0480">
        <w:tc>
          <w:tcPr>
            <w:tcW w:w="1907" w:type="dxa"/>
            <w:vMerge/>
            <w:vAlign w:val="center"/>
          </w:tcPr>
          <w:p w:rsidR="001C0480" w:rsidRPr="000844DE" w:rsidRDefault="001C0480" w:rsidP="00861625">
            <w:pPr>
              <w:spacing w:after="0"/>
              <w:jc w:val="center"/>
              <w:rPr>
                <w:rFonts w:cs="Calibri"/>
                <w:b/>
                <w:spacing w:val="-2"/>
                <w:sz w:val="20"/>
                <w:szCs w:val="20"/>
              </w:rPr>
            </w:pPr>
          </w:p>
        </w:tc>
        <w:tc>
          <w:tcPr>
            <w:tcW w:w="1406" w:type="dxa"/>
            <w:shd w:val="clear" w:color="auto" w:fill="auto"/>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t>UCI</w:t>
            </w:r>
          </w:p>
        </w:tc>
        <w:tc>
          <w:tcPr>
            <w:tcW w:w="1131" w:type="dxa"/>
            <w:shd w:val="clear" w:color="auto" w:fill="auto"/>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sym w:font="Wingdings" w:char="F0A1"/>
            </w:r>
          </w:p>
        </w:tc>
        <w:tc>
          <w:tcPr>
            <w:tcW w:w="1830" w:type="dxa"/>
            <w:shd w:val="clear" w:color="auto" w:fill="auto"/>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sym w:font="Wingdings" w:char="F0A1"/>
            </w:r>
          </w:p>
        </w:tc>
        <w:tc>
          <w:tcPr>
            <w:tcW w:w="1131" w:type="dxa"/>
            <w:shd w:val="clear" w:color="auto" w:fill="auto"/>
            <w:vAlign w:val="center"/>
          </w:tcPr>
          <w:p w:rsidR="001C0480" w:rsidRPr="000844DE" w:rsidRDefault="001C0480" w:rsidP="00861625">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auto"/>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sym w:font="Wingdings" w:char="F0A1"/>
            </w:r>
          </w:p>
        </w:tc>
        <w:tc>
          <w:tcPr>
            <w:tcW w:w="1235" w:type="dxa"/>
            <w:shd w:val="clear" w:color="auto" w:fill="auto"/>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sym w:font="Wingdings" w:char="F0A1"/>
            </w:r>
          </w:p>
        </w:tc>
        <w:tc>
          <w:tcPr>
            <w:tcW w:w="1284" w:type="dxa"/>
            <w:shd w:val="clear" w:color="auto" w:fill="auto"/>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sym w:font="Wingdings" w:char="F0A1"/>
            </w:r>
          </w:p>
        </w:tc>
        <w:tc>
          <w:tcPr>
            <w:tcW w:w="1208" w:type="dxa"/>
            <w:shd w:val="clear" w:color="auto" w:fill="auto"/>
            <w:vAlign w:val="center"/>
          </w:tcPr>
          <w:p w:rsidR="001C0480" w:rsidRPr="000844DE" w:rsidRDefault="001C0480" w:rsidP="00861625">
            <w:pPr>
              <w:spacing w:after="0"/>
              <w:jc w:val="center"/>
              <w:rPr>
                <w:rFonts w:cs="Calibri"/>
                <w:spacing w:val="-2"/>
                <w:sz w:val="20"/>
                <w:szCs w:val="20"/>
              </w:rPr>
            </w:pPr>
            <w:r w:rsidRPr="000844DE">
              <w:rPr>
                <w:rFonts w:cs="Calibri"/>
                <w:b/>
                <w:spacing w:val="-2"/>
                <w:sz w:val="20"/>
                <w:szCs w:val="20"/>
              </w:rPr>
              <w:sym w:font="Wingdings" w:char="F0FC"/>
            </w:r>
          </w:p>
        </w:tc>
        <w:tc>
          <w:tcPr>
            <w:tcW w:w="1169" w:type="dxa"/>
            <w:shd w:val="clear" w:color="auto" w:fill="auto"/>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sym w:font="Wingdings" w:char="F0A1"/>
            </w:r>
          </w:p>
        </w:tc>
        <w:tc>
          <w:tcPr>
            <w:tcW w:w="1131" w:type="dxa"/>
            <w:shd w:val="clear" w:color="auto" w:fill="auto"/>
            <w:vAlign w:val="center"/>
          </w:tcPr>
          <w:p w:rsidR="001C0480" w:rsidRPr="000844DE" w:rsidRDefault="001C0480" w:rsidP="00861625">
            <w:pPr>
              <w:spacing w:after="0"/>
              <w:jc w:val="center"/>
              <w:rPr>
                <w:rFonts w:cs="Calibri"/>
                <w:spacing w:val="-2"/>
                <w:sz w:val="20"/>
                <w:szCs w:val="20"/>
              </w:rPr>
            </w:pPr>
            <w:r w:rsidRPr="000844DE">
              <w:rPr>
                <w:rFonts w:cs="Calibri"/>
                <w:spacing w:val="-2"/>
                <w:sz w:val="20"/>
                <w:szCs w:val="20"/>
              </w:rPr>
              <w:sym w:font="Wingdings" w:char="F0A1"/>
            </w:r>
          </w:p>
        </w:tc>
      </w:tr>
      <w:tr w:rsidR="00DB2F7F" w:rsidRPr="000844DE" w:rsidTr="001C0480">
        <w:tc>
          <w:tcPr>
            <w:tcW w:w="1907" w:type="dxa"/>
            <w:vMerge w:val="restart"/>
            <w:tcBorders>
              <w:top w:val="single" w:sz="4" w:space="0" w:color="auto"/>
            </w:tcBorders>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r w:rsidRPr="000844DE">
              <w:rPr>
                <w:rFonts w:cs="Calibri"/>
                <w:b/>
                <w:spacing w:val="-2"/>
                <w:sz w:val="20"/>
                <w:szCs w:val="20"/>
              </w:rPr>
              <w:t>Social</w:t>
            </w:r>
            <w:r>
              <w:rPr>
                <w:rFonts w:cs="Calibri"/>
                <w:b/>
                <w:spacing w:val="-2"/>
                <w:sz w:val="20"/>
                <w:szCs w:val="20"/>
              </w:rPr>
              <w:t>es, gremiales y de base</w:t>
            </w:r>
          </w:p>
        </w:tc>
        <w:tc>
          <w:tcPr>
            <w:tcW w:w="1406"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spacing w:val="-2"/>
                <w:sz w:val="20"/>
                <w:szCs w:val="20"/>
              </w:rPr>
              <w:t>ACICAFOC</w:t>
            </w:r>
          </w:p>
        </w:tc>
        <w:tc>
          <w:tcPr>
            <w:tcW w:w="1131"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830"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p>
        </w:tc>
        <w:tc>
          <w:tcPr>
            <w:tcW w:w="1131"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235"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284"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208"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p>
        </w:tc>
        <w:tc>
          <w:tcPr>
            <w:tcW w:w="1169"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F23348">
        <w:tc>
          <w:tcPr>
            <w:tcW w:w="1907" w:type="dxa"/>
            <w:vMerge/>
            <w:vAlign w:val="center"/>
          </w:tcPr>
          <w:p w:rsidR="00DB2F7F" w:rsidRPr="000844DE" w:rsidRDefault="00DB2F7F" w:rsidP="00861625">
            <w:pPr>
              <w:spacing w:after="0"/>
              <w:jc w:val="center"/>
              <w:rPr>
                <w:rFonts w:cs="Calibri"/>
                <w:b/>
                <w:spacing w:val="-2"/>
                <w:sz w:val="20"/>
                <w:szCs w:val="20"/>
              </w:rPr>
            </w:pPr>
          </w:p>
        </w:tc>
        <w:tc>
          <w:tcPr>
            <w:tcW w:w="1406" w:type="dxa"/>
            <w:vAlign w:val="center"/>
          </w:tcPr>
          <w:p w:rsidR="00DB2F7F" w:rsidRPr="000844DE" w:rsidRDefault="00DB2F7F" w:rsidP="00861625">
            <w:pPr>
              <w:spacing w:after="0"/>
              <w:jc w:val="center"/>
              <w:rPr>
                <w:rFonts w:cs="Calibri"/>
                <w:spacing w:val="-2"/>
                <w:sz w:val="20"/>
                <w:szCs w:val="20"/>
              </w:rPr>
            </w:pPr>
          </w:p>
        </w:tc>
        <w:tc>
          <w:tcPr>
            <w:tcW w:w="1131" w:type="dxa"/>
            <w:vAlign w:val="center"/>
          </w:tcPr>
          <w:p w:rsidR="00DB2F7F" w:rsidRPr="000844DE" w:rsidRDefault="00DB2F7F" w:rsidP="00861625">
            <w:pPr>
              <w:spacing w:after="0"/>
              <w:jc w:val="center"/>
              <w:rPr>
                <w:rFonts w:cs="Calibri"/>
                <w:b/>
                <w:spacing w:val="-2"/>
                <w:sz w:val="20"/>
                <w:szCs w:val="20"/>
              </w:rPr>
            </w:pPr>
          </w:p>
        </w:tc>
        <w:tc>
          <w:tcPr>
            <w:tcW w:w="1830" w:type="dxa"/>
            <w:vAlign w:val="center"/>
          </w:tcPr>
          <w:p w:rsidR="00DB2F7F" w:rsidRPr="000844DE" w:rsidRDefault="00DB2F7F" w:rsidP="00861625">
            <w:pPr>
              <w:spacing w:after="0"/>
              <w:jc w:val="center"/>
              <w:rPr>
                <w:rFonts w:cs="Calibri"/>
                <w:b/>
                <w:spacing w:val="-2"/>
                <w:sz w:val="20"/>
                <w:szCs w:val="20"/>
              </w:rPr>
            </w:pPr>
          </w:p>
        </w:tc>
        <w:tc>
          <w:tcPr>
            <w:tcW w:w="1131" w:type="dxa"/>
            <w:vAlign w:val="center"/>
          </w:tcPr>
          <w:p w:rsidR="00DB2F7F" w:rsidRPr="000844DE" w:rsidRDefault="00DB2F7F" w:rsidP="00861625">
            <w:pPr>
              <w:spacing w:after="0"/>
              <w:jc w:val="center"/>
              <w:rPr>
                <w:rFonts w:cs="Calibri"/>
                <w:b/>
                <w:spacing w:val="-2"/>
                <w:sz w:val="20"/>
                <w:szCs w:val="20"/>
              </w:rPr>
            </w:pPr>
          </w:p>
        </w:tc>
        <w:tc>
          <w:tcPr>
            <w:tcW w:w="1186" w:type="dxa"/>
            <w:vAlign w:val="center"/>
          </w:tcPr>
          <w:p w:rsidR="00DB2F7F" w:rsidRPr="000844DE" w:rsidRDefault="00DB2F7F" w:rsidP="00861625">
            <w:pPr>
              <w:spacing w:after="0"/>
              <w:jc w:val="center"/>
              <w:rPr>
                <w:rFonts w:cs="Calibri"/>
                <w:b/>
                <w:spacing w:val="-2"/>
                <w:sz w:val="20"/>
                <w:szCs w:val="20"/>
              </w:rPr>
            </w:pPr>
          </w:p>
        </w:tc>
        <w:tc>
          <w:tcPr>
            <w:tcW w:w="1235" w:type="dxa"/>
            <w:vAlign w:val="center"/>
          </w:tcPr>
          <w:p w:rsidR="00DB2F7F" w:rsidRPr="000844DE" w:rsidRDefault="00DB2F7F" w:rsidP="00861625">
            <w:pPr>
              <w:spacing w:after="0"/>
              <w:jc w:val="center"/>
              <w:rPr>
                <w:rFonts w:cs="Calibri"/>
                <w:b/>
                <w:spacing w:val="-2"/>
                <w:sz w:val="20"/>
                <w:szCs w:val="20"/>
              </w:rPr>
            </w:pPr>
          </w:p>
        </w:tc>
        <w:tc>
          <w:tcPr>
            <w:tcW w:w="1284" w:type="dxa"/>
            <w:vAlign w:val="center"/>
          </w:tcPr>
          <w:p w:rsidR="00DB2F7F" w:rsidRPr="000844DE" w:rsidRDefault="00DB2F7F" w:rsidP="00861625">
            <w:pPr>
              <w:spacing w:after="0"/>
              <w:jc w:val="center"/>
              <w:rPr>
                <w:rFonts w:cs="Calibri"/>
                <w:b/>
                <w:spacing w:val="-2"/>
                <w:sz w:val="20"/>
                <w:szCs w:val="20"/>
              </w:rPr>
            </w:pPr>
          </w:p>
        </w:tc>
        <w:tc>
          <w:tcPr>
            <w:tcW w:w="1208" w:type="dxa"/>
            <w:vAlign w:val="center"/>
          </w:tcPr>
          <w:p w:rsidR="00DB2F7F" w:rsidRPr="000844DE" w:rsidRDefault="00DB2F7F" w:rsidP="00861625">
            <w:pPr>
              <w:spacing w:after="0"/>
              <w:jc w:val="center"/>
              <w:rPr>
                <w:rFonts w:cs="Calibri"/>
                <w:b/>
                <w:spacing w:val="-2"/>
                <w:sz w:val="20"/>
                <w:szCs w:val="20"/>
              </w:rPr>
            </w:pPr>
          </w:p>
        </w:tc>
        <w:tc>
          <w:tcPr>
            <w:tcW w:w="1169" w:type="dxa"/>
            <w:vAlign w:val="center"/>
          </w:tcPr>
          <w:p w:rsidR="00DB2F7F" w:rsidRPr="000844DE" w:rsidRDefault="00DB2F7F" w:rsidP="00861625">
            <w:pPr>
              <w:spacing w:after="0"/>
              <w:jc w:val="center"/>
              <w:rPr>
                <w:rFonts w:cs="Calibri"/>
                <w:b/>
                <w:spacing w:val="-2"/>
                <w:sz w:val="20"/>
                <w:szCs w:val="20"/>
              </w:rPr>
            </w:pPr>
          </w:p>
        </w:tc>
        <w:tc>
          <w:tcPr>
            <w:tcW w:w="1131" w:type="dxa"/>
            <w:vAlign w:val="center"/>
          </w:tcPr>
          <w:p w:rsidR="00DB2F7F" w:rsidRPr="000844DE" w:rsidRDefault="00DB2F7F" w:rsidP="00861625">
            <w:pPr>
              <w:spacing w:after="0"/>
              <w:jc w:val="center"/>
              <w:rPr>
                <w:rFonts w:cs="Calibri"/>
                <w:b/>
                <w:spacing w:val="-2"/>
                <w:sz w:val="20"/>
                <w:szCs w:val="20"/>
              </w:rPr>
            </w:pPr>
          </w:p>
        </w:tc>
      </w:tr>
      <w:tr w:rsidR="00DB2F7F" w:rsidRPr="000844DE" w:rsidTr="00DB2F7F">
        <w:tc>
          <w:tcPr>
            <w:tcW w:w="1907" w:type="dxa"/>
            <w:vMerge/>
            <w:vAlign w:val="center"/>
          </w:tcPr>
          <w:p w:rsidR="00DB2F7F" w:rsidRPr="000844DE" w:rsidRDefault="00DB2F7F" w:rsidP="00861625">
            <w:pPr>
              <w:spacing w:after="0"/>
              <w:jc w:val="center"/>
              <w:rPr>
                <w:rFonts w:cs="Calibri"/>
                <w:b/>
                <w:spacing w:val="-2"/>
                <w:sz w:val="20"/>
                <w:szCs w:val="20"/>
              </w:rPr>
            </w:pPr>
          </w:p>
        </w:tc>
        <w:tc>
          <w:tcPr>
            <w:tcW w:w="1406"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p>
        </w:tc>
        <w:tc>
          <w:tcPr>
            <w:tcW w:w="1131"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830"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131"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186"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235"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284"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208"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169"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131"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r>
      <w:tr w:rsidR="00DB2F7F" w:rsidRPr="000844DE" w:rsidTr="00F23348">
        <w:tc>
          <w:tcPr>
            <w:tcW w:w="1907" w:type="dxa"/>
            <w:vMerge/>
            <w:vAlign w:val="center"/>
          </w:tcPr>
          <w:p w:rsidR="00DB2F7F" w:rsidRPr="000844DE" w:rsidRDefault="00DB2F7F" w:rsidP="00861625">
            <w:pPr>
              <w:spacing w:after="0"/>
              <w:jc w:val="center"/>
              <w:rPr>
                <w:rFonts w:cs="Calibri"/>
                <w:b/>
                <w:spacing w:val="-2"/>
                <w:sz w:val="20"/>
                <w:szCs w:val="20"/>
              </w:rPr>
            </w:pPr>
          </w:p>
        </w:tc>
        <w:tc>
          <w:tcPr>
            <w:tcW w:w="1406" w:type="dxa"/>
            <w:vAlign w:val="center"/>
          </w:tcPr>
          <w:p w:rsidR="00DB2F7F" w:rsidRPr="000844DE" w:rsidRDefault="00DB2F7F" w:rsidP="00861625">
            <w:pPr>
              <w:spacing w:after="0"/>
              <w:jc w:val="center"/>
              <w:rPr>
                <w:rFonts w:cs="Calibri"/>
                <w:spacing w:val="-2"/>
                <w:sz w:val="20"/>
                <w:szCs w:val="20"/>
              </w:rPr>
            </w:pPr>
          </w:p>
        </w:tc>
        <w:tc>
          <w:tcPr>
            <w:tcW w:w="1131" w:type="dxa"/>
            <w:vAlign w:val="center"/>
          </w:tcPr>
          <w:p w:rsidR="00DB2F7F" w:rsidRPr="000844DE" w:rsidRDefault="00DB2F7F" w:rsidP="00861625">
            <w:pPr>
              <w:spacing w:after="0"/>
              <w:jc w:val="center"/>
              <w:rPr>
                <w:rFonts w:cs="Calibri"/>
                <w:b/>
                <w:spacing w:val="-2"/>
                <w:sz w:val="20"/>
                <w:szCs w:val="20"/>
              </w:rPr>
            </w:pPr>
          </w:p>
        </w:tc>
        <w:tc>
          <w:tcPr>
            <w:tcW w:w="1830" w:type="dxa"/>
            <w:vAlign w:val="center"/>
          </w:tcPr>
          <w:p w:rsidR="00DB2F7F" w:rsidRPr="000844DE" w:rsidRDefault="00DB2F7F" w:rsidP="00861625">
            <w:pPr>
              <w:spacing w:after="0"/>
              <w:jc w:val="center"/>
              <w:rPr>
                <w:rFonts w:cs="Calibri"/>
                <w:b/>
                <w:spacing w:val="-2"/>
                <w:sz w:val="20"/>
                <w:szCs w:val="20"/>
              </w:rPr>
            </w:pPr>
          </w:p>
        </w:tc>
        <w:tc>
          <w:tcPr>
            <w:tcW w:w="1131" w:type="dxa"/>
            <w:vAlign w:val="center"/>
          </w:tcPr>
          <w:p w:rsidR="00DB2F7F" w:rsidRPr="000844DE" w:rsidRDefault="00DB2F7F" w:rsidP="00861625">
            <w:pPr>
              <w:spacing w:after="0"/>
              <w:jc w:val="center"/>
              <w:rPr>
                <w:rFonts w:cs="Calibri"/>
                <w:b/>
                <w:spacing w:val="-2"/>
                <w:sz w:val="20"/>
                <w:szCs w:val="20"/>
              </w:rPr>
            </w:pPr>
          </w:p>
        </w:tc>
        <w:tc>
          <w:tcPr>
            <w:tcW w:w="1186" w:type="dxa"/>
            <w:vAlign w:val="center"/>
          </w:tcPr>
          <w:p w:rsidR="00DB2F7F" w:rsidRPr="000844DE" w:rsidRDefault="00DB2F7F" w:rsidP="00861625">
            <w:pPr>
              <w:spacing w:after="0"/>
              <w:jc w:val="center"/>
              <w:rPr>
                <w:rFonts w:cs="Calibri"/>
                <w:b/>
                <w:spacing w:val="-2"/>
                <w:sz w:val="20"/>
                <w:szCs w:val="20"/>
              </w:rPr>
            </w:pPr>
          </w:p>
        </w:tc>
        <w:tc>
          <w:tcPr>
            <w:tcW w:w="1235" w:type="dxa"/>
            <w:vAlign w:val="center"/>
          </w:tcPr>
          <w:p w:rsidR="00DB2F7F" w:rsidRPr="000844DE" w:rsidRDefault="00DB2F7F" w:rsidP="00861625">
            <w:pPr>
              <w:spacing w:after="0"/>
              <w:jc w:val="center"/>
              <w:rPr>
                <w:rFonts w:cs="Calibri"/>
                <w:b/>
                <w:spacing w:val="-2"/>
                <w:sz w:val="20"/>
                <w:szCs w:val="20"/>
              </w:rPr>
            </w:pPr>
          </w:p>
        </w:tc>
        <w:tc>
          <w:tcPr>
            <w:tcW w:w="1284" w:type="dxa"/>
            <w:vAlign w:val="center"/>
          </w:tcPr>
          <w:p w:rsidR="00DB2F7F" w:rsidRPr="000844DE" w:rsidRDefault="00DB2F7F" w:rsidP="00861625">
            <w:pPr>
              <w:spacing w:after="0"/>
              <w:jc w:val="center"/>
              <w:rPr>
                <w:rFonts w:cs="Calibri"/>
                <w:b/>
                <w:spacing w:val="-2"/>
                <w:sz w:val="20"/>
                <w:szCs w:val="20"/>
              </w:rPr>
            </w:pPr>
          </w:p>
        </w:tc>
        <w:tc>
          <w:tcPr>
            <w:tcW w:w="1208" w:type="dxa"/>
            <w:vAlign w:val="center"/>
          </w:tcPr>
          <w:p w:rsidR="00DB2F7F" w:rsidRPr="000844DE" w:rsidRDefault="00DB2F7F" w:rsidP="00861625">
            <w:pPr>
              <w:spacing w:after="0"/>
              <w:jc w:val="center"/>
              <w:rPr>
                <w:rFonts w:cs="Calibri"/>
                <w:b/>
                <w:spacing w:val="-2"/>
                <w:sz w:val="20"/>
                <w:szCs w:val="20"/>
              </w:rPr>
            </w:pPr>
          </w:p>
        </w:tc>
        <w:tc>
          <w:tcPr>
            <w:tcW w:w="1169" w:type="dxa"/>
            <w:vAlign w:val="center"/>
          </w:tcPr>
          <w:p w:rsidR="00DB2F7F" w:rsidRPr="000844DE" w:rsidRDefault="00DB2F7F" w:rsidP="00861625">
            <w:pPr>
              <w:spacing w:after="0"/>
              <w:jc w:val="center"/>
              <w:rPr>
                <w:rFonts w:cs="Calibri"/>
                <w:b/>
                <w:spacing w:val="-2"/>
                <w:sz w:val="20"/>
                <w:szCs w:val="20"/>
              </w:rPr>
            </w:pPr>
          </w:p>
        </w:tc>
        <w:tc>
          <w:tcPr>
            <w:tcW w:w="1131" w:type="dxa"/>
            <w:vAlign w:val="center"/>
          </w:tcPr>
          <w:p w:rsidR="00DB2F7F" w:rsidRPr="000844DE" w:rsidRDefault="00DB2F7F" w:rsidP="00861625">
            <w:pPr>
              <w:spacing w:after="0"/>
              <w:jc w:val="center"/>
              <w:rPr>
                <w:rFonts w:cs="Calibri"/>
                <w:b/>
                <w:spacing w:val="-2"/>
                <w:sz w:val="20"/>
                <w:szCs w:val="20"/>
              </w:rPr>
            </w:pPr>
          </w:p>
        </w:tc>
      </w:tr>
      <w:tr w:rsidR="00DB2F7F" w:rsidRPr="000844DE" w:rsidTr="00DB2F7F">
        <w:tc>
          <w:tcPr>
            <w:tcW w:w="1907" w:type="dxa"/>
            <w:vMerge/>
            <w:vAlign w:val="center"/>
          </w:tcPr>
          <w:p w:rsidR="00DB2F7F" w:rsidRPr="000844DE" w:rsidRDefault="00DB2F7F" w:rsidP="00861625">
            <w:pPr>
              <w:spacing w:after="0"/>
              <w:jc w:val="center"/>
              <w:rPr>
                <w:rFonts w:cs="Calibri"/>
                <w:b/>
                <w:spacing w:val="-2"/>
                <w:sz w:val="20"/>
                <w:szCs w:val="20"/>
              </w:rPr>
            </w:pPr>
          </w:p>
        </w:tc>
        <w:tc>
          <w:tcPr>
            <w:tcW w:w="1406"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p>
        </w:tc>
        <w:tc>
          <w:tcPr>
            <w:tcW w:w="1131"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830"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131"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186"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235"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284"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208"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169"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131"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r>
      <w:tr w:rsidR="00DB2F7F" w:rsidRPr="000844DE" w:rsidTr="001C0480">
        <w:tc>
          <w:tcPr>
            <w:tcW w:w="1907" w:type="dxa"/>
            <w:vMerge w:val="restart"/>
            <w:tcBorders>
              <w:top w:val="single" w:sz="4" w:space="0" w:color="auto"/>
            </w:tcBorders>
            <w:vAlign w:val="center"/>
          </w:tcPr>
          <w:p w:rsidR="00DB2F7F" w:rsidRPr="000844DE" w:rsidRDefault="00DB2F7F" w:rsidP="00861625">
            <w:pPr>
              <w:spacing w:after="0"/>
              <w:jc w:val="center"/>
              <w:rPr>
                <w:rFonts w:cs="Calibri"/>
                <w:b/>
                <w:spacing w:val="-2"/>
                <w:sz w:val="20"/>
                <w:szCs w:val="20"/>
              </w:rPr>
            </w:pPr>
            <w:r w:rsidRPr="000844DE">
              <w:rPr>
                <w:rFonts w:cs="Calibri"/>
                <w:b/>
                <w:spacing w:val="-2"/>
                <w:sz w:val="20"/>
                <w:szCs w:val="20"/>
              </w:rPr>
              <w:t>Civil</w:t>
            </w:r>
            <w:r>
              <w:rPr>
                <w:rFonts w:cs="Calibri"/>
                <w:b/>
                <w:spacing w:val="-2"/>
                <w:sz w:val="20"/>
                <w:szCs w:val="20"/>
              </w:rPr>
              <w:t>es y alianzas</w:t>
            </w:r>
          </w:p>
        </w:tc>
        <w:tc>
          <w:tcPr>
            <w:tcW w:w="1406" w:type="dxa"/>
            <w:vAlign w:val="center"/>
          </w:tcPr>
          <w:p w:rsidR="00DB2F7F" w:rsidRPr="000844DE" w:rsidRDefault="00DB2F7F" w:rsidP="00861625">
            <w:pPr>
              <w:spacing w:after="0"/>
              <w:jc w:val="center"/>
              <w:rPr>
                <w:rFonts w:cs="Calibri"/>
                <w:spacing w:val="-2"/>
                <w:sz w:val="20"/>
                <w:szCs w:val="20"/>
              </w:rPr>
            </w:pPr>
            <w:r w:rsidRPr="000844DE">
              <w:rPr>
                <w:rFonts w:cs="Calibri"/>
                <w:spacing w:val="-2"/>
                <w:sz w:val="20"/>
                <w:szCs w:val="20"/>
              </w:rPr>
              <w:t>UICN</w:t>
            </w:r>
          </w:p>
        </w:tc>
        <w:tc>
          <w:tcPr>
            <w:tcW w:w="1131" w:type="dxa"/>
            <w:vAlign w:val="center"/>
          </w:tcPr>
          <w:p w:rsidR="00DB2F7F" w:rsidRPr="000844DE" w:rsidRDefault="00DB2F7F" w:rsidP="00861625">
            <w:pPr>
              <w:spacing w:after="0"/>
              <w:jc w:val="center"/>
              <w:rPr>
                <w:rFonts w:cs="Calibri"/>
                <w:b/>
                <w:spacing w:val="-2"/>
                <w:sz w:val="20"/>
                <w:szCs w:val="20"/>
              </w:rPr>
            </w:pPr>
            <w:r w:rsidRPr="000844DE">
              <w:rPr>
                <w:rFonts w:cs="Calibri"/>
                <w:b/>
                <w:spacing w:val="-2"/>
                <w:sz w:val="20"/>
                <w:szCs w:val="20"/>
              </w:rPr>
              <w:sym w:font="Wingdings" w:char="F0FC"/>
            </w:r>
          </w:p>
        </w:tc>
        <w:tc>
          <w:tcPr>
            <w:tcW w:w="1830"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131"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186"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235"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284"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208"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169"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131"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1C0480">
        <w:tc>
          <w:tcPr>
            <w:tcW w:w="1907" w:type="dxa"/>
            <w:vMerge/>
            <w:vAlign w:val="center"/>
          </w:tcPr>
          <w:p w:rsidR="00DB2F7F" w:rsidRPr="000844DE" w:rsidRDefault="00DB2F7F" w:rsidP="00861625">
            <w:pPr>
              <w:spacing w:after="0"/>
              <w:jc w:val="center"/>
              <w:rPr>
                <w:rFonts w:cs="Calibri"/>
                <w:b/>
                <w:spacing w:val="-2"/>
                <w:sz w:val="20"/>
                <w:szCs w:val="20"/>
              </w:rPr>
            </w:pPr>
          </w:p>
        </w:tc>
        <w:tc>
          <w:tcPr>
            <w:tcW w:w="1406"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spacing w:val="-2"/>
                <w:sz w:val="20"/>
                <w:szCs w:val="20"/>
              </w:rPr>
              <w:t>WWF</w:t>
            </w:r>
          </w:p>
        </w:tc>
        <w:tc>
          <w:tcPr>
            <w:tcW w:w="1131"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r w:rsidRPr="000844DE">
              <w:rPr>
                <w:rFonts w:cs="Calibri"/>
                <w:b/>
                <w:spacing w:val="-2"/>
                <w:sz w:val="20"/>
                <w:szCs w:val="20"/>
              </w:rPr>
              <w:sym w:font="Wingdings" w:char="F0FC"/>
            </w:r>
          </w:p>
        </w:tc>
        <w:tc>
          <w:tcPr>
            <w:tcW w:w="1830"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186"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235"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284"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208"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169"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131"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1C0480">
        <w:tc>
          <w:tcPr>
            <w:tcW w:w="1907" w:type="dxa"/>
            <w:vMerge/>
            <w:vAlign w:val="center"/>
          </w:tcPr>
          <w:p w:rsidR="00DB2F7F" w:rsidRPr="000844DE" w:rsidRDefault="00DB2F7F" w:rsidP="00861625">
            <w:pPr>
              <w:spacing w:after="0"/>
              <w:jc w:val="center"/>
              <w:rPr>
                <w:rFonts w:cs="Calibri"/>
                <w:b/>
                <w:spacing w:val="-2"/>
                <w:sz w:val="20"/>
                <w:szCs w:val="20"/>
              </w:rPr>
            </w:pPr>
          </w:p>
        </w:tc>
        <w:tc>
          <w:tcPr>
            <w:tcW w:w="1406" w:type="dxa"/>
            <w:vAlign w:val="center"/>
          </w:tcPr>
          <w:p w:rsidR="00DB2F7F" w:rsidRPr="000844DE" w:rsidRDefault="00DB2F7F" w:rsidP="00861625">
            <w:pPr>
              <w:spacing w:after="0"/>
              <w:jc w:val="center"/>
              <w:rPr>
                <w:rFonts w:cs="Calibri"/>
                <w:spacing w:val="-2"/>
                <w:sz w:val="20"/>
                <w:szCs w:val="20"/>
              </w:rPr>
            </w:pPr>
            <w:r>
              <w:rPr>
                <w:rFonts w:cs="Calibri"/>
                <w:spacing w:val="-2"/>
                <w:sz w:val="20"/>
                <w:szCs w:val="20"/>
              </w:rPr>
              <w:t>BPM</w:t>
            </w:r>
          </w:p>
        </w:tc>
        <w:tc>
          <w:tcPr>
            <w:tcW w:w="1131" w:type="dxa"/>
            <w:vAlign w:val="center"/>
          </w:tcPr>
          <w:p w:rsidR="00DB2F7F" w:rsidRPr="000844DE" w:rsidRDefault="00DB2F7F" w:rsidP="00861625">
            <w:pPr>
              <w:spacing w:after="0"/>
              <w:jc w:val="center"/>
              <w:rPr>
                <w:rFonts w:cs="Calibri"/>
                <w:b/>
                <w:spacing w:val="-2"/>
                <w:sz w:val="20"/>
                <w:szCs w:val="20"/>
              </w:rPr>
            </w:pPr>
            <w:r w:rsidRPr="000844DE">
              <w:rPr>
                <w:rFonts w:cs="Calibri"/>
                <w:b/>
                <w:spacing w:val="-2"/>
                <w:sz w:val="20"/>
                <w:szCs w:val="20"/>
              </w:rPr>
              <w:sym w:font="Wingdings" w:char="F0FC"/>
            </w:r>
          </w:p>
        </w:tc>
        <w:tc>
          <w:tcPr>
            <w:tcW w:w="1830" w:type="dxa"/>
            <w:vAlign w:val="center"/>
          </w:tcPr>
          <w:p w:rsidR="00DB2F7F" w:rsidRPr="000844DE" w:rsidRDefault="00DB2F7F" w:rsidP="00861625">
            <w:pPr>
              <w:spacing w:after="0"/>
              <w:jc w:val="center"/>
              <w:rPr>
                <w:rFonts w:cs="Calibri"/>
                <w:spacing w:val="-2"/>
                <w:sz w:val="20"/>
                <w:szCs w:val="20"/>
              </w:rPr>
            </w:pPr>
          </w:p>
        </w:tc>
        <w:tc>
          <w:tcPr>
            <w:tcW w:w="1131"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186"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235"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284"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208"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169"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c>
          <w:tcPr>
            <w:tcW w:w="1131" w:type="dxa"/>
            <w:vAlign w:val="center"/>
          </w:tcPr>
          <w:p w:rsidR="00DB2F7F" w:rsidRPr="000844DE" w:rsidRDefault="00DB2F7F" w:rsidP="00861625">
            <w:pPr>
              <w:spacing w:after="0"/>
              <w:jc w:val="center"/>
              <w:rPr>
                <w:rFonts w:cs="Calibri"/>
                <w:spacing w:val="-2"/>
                <w:sz w:val="20"/>
                <w:szCs w:val="20"/>
              </w:rPr>
            </w:pPr>
            <w:r w:rsidRPr="000844DE">
              <w:rPr>
                <w:rFonts w:cs="Calibri"/>
                <w:b/>
                <w:spacing w:val="-2"/>
                <w:sz w:val="20"/>
                <w:szCs w:val="20"/>
              </w:rPr>
              <w:sym w:font="Wingdings" w:char="F0FC"/>
            </w:r>
          </w:p>
        </w:tc>
      </w:tr>
      <w:tr w:rsidR="00DB2F7F" w:rsidRPr="000844DE" w:rsidTr="001C0480">
        <w:tc>
          <w:tcPr>
            <w:tcW w:w="1907" w:type="dxa"/>
            <w:vMerge/>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406"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p>
        </w:tc>
        <w:tc>
          <w:tcPr>
            <w:tcW w:w="1131"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830"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p>
        </w:tc>
        <w:tc>
          <w:tcPr>
            <w:tcW w:w="1131"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186"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235"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284"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208"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p>
        </w:tc>
        <w:tc>
          <w:tcPr>
            <w:tcW w:w="1169"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131"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r>
      <w:tr w:rsidR="00DB2F7F" w:rsidRPr="000844DE" w:rsidTr="00DB2F7F">
        <w:tc>
          <w:tcPr>
            <w:tcW w:w="1907" w:type="dxa"/>
            <w:vMerge/>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406" w:type="dxa"/>
            <w:shd w:val="clear" w:color="auto" w:fill="auto"/>
            <w:vAlign w:val="center"/>
          </w:tcPr>
          <w:p w:rsidR="00DB2F7F" w:rsidRPr="000844DE" w:rsidRDefault="00DB2F7F" w:rsidP="00861625">
            <w:pPr>
              <w:spacing w:after="0"/>
              <w:jc w:val="center"/>
              <w:rPr>
                <w:rFonts w:cs="Calibri"/>
                <w:spacing w:val="-2"/>
                <w:sz w:val="20"/>
                <w:szCs w:val="20"/>
              </w:rPr>
            </w:pPr>
          </w:p>
        </w:tc>
        <w:tc>
          <w:tcPr>
            <w:tcW w:w="1131" w:type="dxa"/>
            <w:shd w:val="clear" w:color="auto" w:fill="auto"/>
            <w:vAlign w:val="center"/>
          </w:tcPr>
          <w:p w:rsidR="00DB2F7F" w:rsidRPr="000844DE" w:rsidRDefault="00DB2F7F" w:rsidP="00861625">
            <w:pPr>
              <w:spacing w:after="0"/>
              <w:jc w:val="center"/>
              <w:rPr>
                <w:rFonts w:cs="Calibri"/>
                <w:b/>
                <w:spacing w:val="-2"/>
                <w:sz w:val="20"/>
                <w:szCs w:val="20"/>
              </w:rPr>
            </w:pPr>
          </w:p>
        </w:tc>
        <w:tc>
          <w:tcPr>
            <w:tcW w:w="1830" w:type="dxa"/>
            <w:shd w:val="clear" w:color="auto" w:fill="auto"/>
            <w:vAlign w:val="center"/>
          </w:tcPr>
          <w:p w:rsidR="00DB2F7F" w:rsidRPr="000844DE" w:rsidRDefault="00DB2F7F" w:rsidP="00861625">
            <w:pPr>
              <w:spacing w:after="0"/>
              <w:jc w:val="center"/>
              <w:rPr>
                <w:rFonts w:cs="Calibri"/>
                <w:spacing w:val="-2"/>
                <w:sz w:val="20"/>
                <w:szCs w:val="20"/>
              </w:rPr>
            </w:pPr>
          </w:p>
        </w:tc>
        <w:tc>
          <w:tcPr>
            <w:tcW w:w="1131" w:type="dxa"/>
            <w:shd w:val="clear" w:color="auto" w:fill="auto"/>
            <w:vAlign w:val="center"/>
          </w:tcPr>
          <w:p w:rsidR="00DB2F7F" w:rsidRPr="000844DE" w:rsidRDefault="00DB2F7F" w:rsidP="00861625">
            <w:pPr>
              <w:spacing w:after="0"/>
              <w:jc w:val="center"/>
              <w:rPr>
                <w:rFonts w:cs="Calibri"/>
                <w:b/>
                <w:spacing w:val="-2"/>
                <w:sz w:val="20"/>
                <w:szCs w:val="20"/>
              </w:rPr>
            </w:pPr>
          </w:p>
        </w:tc>
        <w:tc>
          <w:tcPr>
            <w:tcW w:w="1186" w:type="dxa"/>
            <w:shd w:val="clear" w:color="auto" w:fill="auto"/>
            <w:vAlign w:val="center"/>
          </w:tcPr>
          <w:p w:rsidR="00DB2F7F" w:rsidRPr="000844DE" w:rsidRDefault="00DB2F7F" w:rsidP="00861625">
            <w:pPr>
              <w:spacing w:after="0"/>
              <w:jc w:val="center"/>
              <w:rPr>
                <w:rFonts w:cs="Calibri"/>
                <w:b/>
                <w:spacing w:val="-2"/>
                <w:sz w:val="20"/>
                <w:szCs w:val="20"/>
              </w:rPr>
            </w:pPr>
          </w:p>
        </w:tc>
        <w:tc>
          <w:tcPr>
            <w:tcW w:w="1235" w:type="dxa"/>
            <w:shd w:val="clear" w:color="auto" w:fill="auto"/>
            <w:vAlign w:val="center"/>
          </w:tcPr>
          <w:p w:rsidR="00DB2F7F" w:rsidRPr="000844DE" w:rsidRDefault="00DB2F7F" w:rsidP="00861625">
            <w:pPr>
              <w:spacing w:after="0"/>
              <w:jc w:val="center"/>
              <w:rPr>
                <w:rFonts w:cs="Calibri"/>
                <w:b/>
                <w:spacing w:val="-2"/>
                <w:sz w:val="20"/>
                <w:szCs w:val="20"/>
              </w:rPr>
            </w:pPr>
          </w:p>
        </w:tc>
        <w:tc>
          <w:tcPr>
            <w:tcW w:w="1284" w:type="dxa"/>
            <w:shd w:val="clear" w:color="auto" w:fill="auto"/>
            <w:vAlign w:val="center"/>
          </w:tcPr>
          <w:p w:rsidR="00DB2F7F" w:rsidRPr="000844DE" w:rsidRDefault="00DB2F7F" w:rsidP="00861625">
            <w:pPr>
              <w:spacing w:after="0"/>
              <w:jc w:val="center"/>
              <w:rPr>
                <w:rFonts w:cs="Calibri"/>
                <w:b/>
                <w:spacing w:val="-2"/>
                <w:sz w:val="20"/>
                <w:szCs w:val="20"/>
              </w:rPr>
            </w:pPr>
          </w:p>
        </w:tc>
        <w:tc>
          <w:tcPr>
            <w:tcW w:w="1208" w:type="dxa"/>
            <w:shd w:val="clear" w:color="auto" w:fill="auto"/>
            <w:vAlign w:val="center"/>
          </w:tcPr>
          <w:p w:rsidR="00DB2F7F" w:rsidRPr="000844DE" w:rsidRDefault="00DB2F7F" w:rsidP="00861625">
            <w:pPr>
              <w:spacing w:after="0"/>
              <w:jc w:val="center"/>
              <w:rPr>
                <w:rFonts w:cs="Calibri"/>
                <w:spacing w:val="-2"/>
                <w:sz w:val="20"/>
                <w:szCs w:val="20"/>
              </w:rPr>
            </w:pPr>
          </w:p>
        </w:tc>
        <w:tc>
          <w:tcPr>
            <w:tcW w:w="1169" w:type="dxa"/>
            <w:shd w:val="clear" w:color="auto" w:fill="auto"/>
            <w:vAlign w:val="center"/>
          </w:tcPr>
          <w:p w:rsidR="00DB2F7F" w:rsidRPr="000844DE" w:rsidRDefault="00DB2F7F" w:rsidP="00861625">
            <w:pPr>
              <w:spacing w:after="0"/>
              <w:jc w:val="center"/>
              <w:rPr>
                <w:rFonts w:cs="Calibri"/>
                <w:b/>
                <w:spacing w:val="-2"/>
                <w:sz w:val="20"/>
                <w:szCs w:val="20"/>
              </w:rPr>
            </w:pPr>
          </w:p>
        </w:tc>
        <w:tc>
          <w:tcPr>
            <w:tcW w:w="1131" w:type="dxa"/>
            <w:shd w:val="clear" w:color="auto" w:fill="auto"/>
            <w:vAlign w:val="center"/>
          </w:tcPr>
          <w:p w:rsidR="00DB2F7F" w:rsidRPr="000844DE" w:rsidRDefault="00DB2F7F" w:rsidP="00861625">
            <w:pPr>
              <w:spacing w:after="0"/>
              <w:jc w:val="center"/>
              <w:rPr>
                <w:rFonts w:cs="Calibri"/>
                <w:b/>
                <w:spacing w:val="-2"/>
                <w:sz w:val="20"/>
                <w:szCs w:val="20"/>
              </w:rPr>
            </w:pPr>
          </w:p>
        </w:tc>
      </w:tr>
      <w:tr w:rsidR="00DB2F7F" w:rsidRPr="000844DE" w:rsidTr="001C0480">
        <w:tc>
          <w:tcPr>
            <w:tcW w:w="1907" w:type="dxa"/>
            <w:vMerge/>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406"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p>
        </w:tc>
        <w:tc>
          <w:tcPr>
            <w:tcW w:w="1131"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830"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p>
        </w:tc>
        <w:tc>
          <w:tcPr>
            <w:tcW w:w="1131"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186"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235"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284"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208" w:type="dxa"/>
            <w:shd w:val="clear" w:color="auto" w:fill="F2F2F2" w:themeFill="background1" w:themeFillShade="F2"/>
            <w:vAlign w:val="center"/>
          </w:tcPr>
          <w:p w:rsidR="00DB2F7F" w:rsidRPr="000844DE" w:rsidRDefault="00DB2F7F" w:rsidP="00861625">
            <w:pPr>
              <w:spacing w:after="0"/>
              <w:jc w:val="center"/>
              <w:rPr>
                <w:rFonts w:cs="Calibri"/>
                <w:spacing w:val="-2"/>
                <w:sz w:val="20"/>
                <w:szCs w:val="20"/>
              </w:rPr>
            </w:pPr>
          </w:p>
        </w:tc>
        <w:tc>
          <w:tcPr>
            <w:tcW w:w="1169"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c>
          <w:tcPr>
            <w:tcW w:w="1131" w:type="dxa"/>
            <w:shd w:val="clear" w:color="auto" w:fill="F2F2F2" w:themeFill="background1" w:themeFillShade="F2"/>
            <w:vAlign w:val="center"/>
          </w:tcPr>
          <w:p w:rsidR="00DB2F7F" w:rsidRPr="000844DE" w:rsidRDefault="00DB2F7F" w:rsidP="00861625">
            <w:pPr>
              <w:spacing w:after="0"/>
              <w:jc w:val="center"/>
              <w:rPr>
                <w:rFonts w:cs="Calibri"/>
                <w:b/>
                <w:spacing w:val="-2"/>
                <w:sz w:val="20"/>
                <w:szCs w:val="20"/>
              </w:rPr>
            </w:pPr>
          </w:p>
        </w:tc>
      </w:tr>
    </w:tbl>
    <w:p w:rsidR="001468AE" w:rsidRDefault="001468AE" w:rsidP="001468AE"/>
    <w:p w:rsidR="001468AE" w:rsidRDefault="001468AE" w:rsidP="001468AE"/>
    <w:p w:rsidR="001468AE" w:rsidRDefault="001468AE" w:rsidP="001468AE">
      <w:pPr>
        <w:pStyle w:val="Ttulo3"/>
        <w:sectPr w:rsidR="001468AE" w:rsidSect="00D41996">
          <w:footerReference w:type="default" r:id="rId9"/>
          <w:pgSz w:w="15842" w:h="12242" w:orient="landscape" w:code="120"/>
          <w:pgMar w:top="720" w:right="720" w:bottom="720" w:left="720" w:header="567" w:footer="567" w:gutter="0"/>
          <w:cols w:space="708"/>
          <w:docGrid w:linePitch="360"/>
        </w:sectPr>
      </w:pPr>
    </w:p>
    <w:p w:rsidR="001468AE" w:rsidRDefault="001510B2" w:rsidP="00D005C1">
      <w:pPr>
        <w:pStyle w:val="Ttulo2"/>
      </w:pPr>
      <w:bookmarkStart w:id="15" w:name="_Toc335491254"/>
      <w:r>
        <w:lastRenderedPageBreak/>
        <w:t>Siglas</w:t>
      </w:r>
      <w:bookmarkEnd w:id="15"/>
    </w:p>
    <w:p w:rsidR="001510B2" w:rsidRPr="00C47F74" w:rsidRDefault="001510B2" w:rsidP="009E440E">
      <w:pPr>
        <w:ind w:left="567" w:hanging="567"/>
        <w:rPr>
          <w:rFonts w:cs="Calibri"/>
          <w:spacing w:val="-2"/>
          <w:sz w:val="20"/>
          <w:szCs w:val="20"/>
        </w:rPr>
      </w:pPr>
      <w:r w:rsidRPr="00C47F74">
        <w:rPr>
          <w:rFonts w:cs="Calibri"/>
          <w:b/>
          <w:spacing w:val="-2"/>
          <w:sz w:val="20"/>
          <w:szCs w:val="20"/>
        </w:rPr>
        <w:t>ACICAFOC</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 xml:space="preserve">Asociación </w:t>
      </w:r>
      <w:r w:rsidRPr="009E440E">
        <w:rPr>
          <w:rFonts w:cs="Calibri"/>
          <w:sz w:val="20"/>
          <w:szCs w:val="20"/>
        </w:rPr>
        <w:t>Coordinadora</w:t>
      </w:r>
      <w:r w:rsidRPr="00C47F74">
        <w:rPr>
          <w:rFonts w:cs="Calibri"/>
          <w:spacing w:val="-2"/>
          <w:sz w:val="20"/>
          <w:szCs w:val="20"/>
        </w:rPr>
        <w:t xml:space="preserve"> Indígena y Campesina de Agroforestería Comunitaria Centroamericana.</w:t>
      </w:r>
    </w:p>
    <w:p w:rsidR="001510B2" w:rsidRPr="00C47F74" w:rsidRDefault="001510B2" w:rsidP="008B14E5">
      <w:pPr>
        <w:ind w:left="567" w:hanging="567"/>
        <w:rPr>
          <w:rFonts w:cs="Calibri"/>
          <w:sz w:val="20"/>
          <w:szCs w:val="20"/>
        </w:rPr>
      </w:pPr>
      <w:r w:rsidRPr="00C47F74">
        <w:rPr>
          <w:rFonts w:cs="Calibri"/>
          <w:b/>
          <w:spacing w:val="-2"/>
          <w:sz w:val="20"/>
          <w:szCs w:val="20"/>
        </w:rPr>
        <w:t>AECID</w:t>
      </w:r>
      <w:r w:rsidR="00587D2A">
        <w:rPr>
          <w:rFonts w:cs="Calibri"/>
          <w:sz w:val="20"/>
          <w:szCs w:val="20"/>
        </w:rPr>
        <w:t>:</w:t>
      </w:r>
      <w:r w:rsidR="003B6E7D" w:rsidRPr="003B6E7D">
        <w:rPr>
          <w:rFonts w:cs="Calibri"/>
          <w:sz w:val="20"/>
          <w:szCs w:val="20"/>
        </w:rPr>
        <w:t xml:space="preserve"> </w:t>
      </w:r>
      <w:r w:rsidRPr="00C47F74">
        <w:rPr>
          <w:rFonts w:cs="Calibri"/>
          <w:sz w:val="20"/>
          <w:szCs w:val="20"/>
        </w:rPr>
        <w:t>Agencia Española de Cooperación Internacional para el Desarrollo.</w:t>
      </w:r>
    </w:p>
    <w:p w:rsidR="001510B2" w:rsidRPr="00C47F74" w:rsidRDefault="001510B2" w:rsidP="008B14E5">
      <w:pPr>
        <w:ind w:left="567" w:hanging="567"/>
        <w:rPr>
          <w:rFonts w:cs="Calibri"/>
          <w:spacing w:val="-2"/>
          <w:sz w:val="20"/>
          <w:szCs w:val="20"/>
        </w:rPr>
      </w:pPr>
      <w:r w:rsidRPr="00C47F74">
        <w:rPr>
          <w:rFonts w:cs="Calibri"/>
          <w:b/>
          <w:spacing w:val="-2"/>
          <w:sz w:val="20"/>
          <w:szCs w:val="20"/>
        </w:rPr>
        <w:t>AFD</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Agencia Francesa de Desarrollo.</w:t>
      </w:r>
    </w:p>
    <w:p w:rsidR="001510B2" w:rsidRPr="00C47F74" w:rsidRDefault="001510B2" w:rsidP="008B14E5">
      <w:pPr>
        <w:ind w:left="567" w:hanging="567"/>
        <w:rPr>
          <w:rFonts w:cs="Calibri"/>
          <w:spacing w:val="-2"/>
          <w:sz w:val="20"/>
          <w:szCs w:val="20"/>
        </w:rPr>
      </w:pPr>
      <w:r w:rsidRPr="00C47F74">
        <w:rPr>
          <w:rFonts w:cs="Calibri"/>
          <w:b/>
          <w:spacing w:val="-2"/>
          <w:sz w:val="20"/>
          <w:szCs w:val="20"/>
        </w:rPr>
        <w:t>ANAM</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Autoridad Nacional del Ambiente, Panamá.</w:t>
      </w:r>
    </w:p>
    <w:p w:rsidR="001510B2" w:rsidRPr="00C47F74" w:rsidRDefault="001510B2" w:rsidP="008B14E5">
      <w:pPr>
        <w:ind w:left="567" w:hanging="567"/>
        <w:rPr>
          <w:rFonts w:cs="Calibri"/>
          <w:spacing w:val="-2"/>
          <w:sz w:val="20"/>
          <w:szCs w:val="20"/>
        </w:rPr>
      </w:pPr>
      <w:r w:rsidRPr="00C47F74">
        <w:rPr>
          <w:rFonts w:cs="Calibri"/>
          <w:b/>
          <w:spacing w:val="-2"/>
          <w:sz w:val="20"/>
          <w:szCs w:val="20"/>
        </w:rPr>
        <w:t>BCIE</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Banco Centroamericano de Integración Económica.</w:t>
      </w:r>
    </w:p>
    <w:p w:rsidR="001510B2" w:rsidRDefault="001510B2" w:rsidP="008B14E5">
      <w:pPr>
        <w:ind w:left="567" w:hanging="567"/>
        <w:rPr>
          <w:rFonts w:cs="Calibri"/>
          <w:spacing w:val="-2"/>
          <w:sz w:val="20"/>
          <w:szCs w:val="20"/>
        </w:rPr>
      </w:pPr>
      <w:r w:rsidRPr="00E2167C">
        <w:rPr>
          <w:rFonts w:cs="Calibri"/>
          <w:b/>
          <w:spacing w:val="-2"/>
          <w:sz w:val="20"/>
          <w:szCs w:val="20"/>
        </w:rPr>
        <w:t>BID</w:t>
      </w:r>
      <w:r w:rsidR="00587D2A">
        <w:rPr>
          <w:rFonts w:cs="Calibri"/>
          <w:spacing w:val="-2"/>
          <w:sz w:val="20"/>
          <w:szCs w:val="20"/>
        </w:rPr>
        <w:t>:</w:t>
      </w:r>
      <w:r w:rsidR="003B6E7D" w:rsidRPr="003B6E7D">
        <w:rPr>
          <w:rFonts w:cs="Calibri"/>
          <w:spacing w:val="-2"/>
          <w:sz w:val="20"/>
          <w:szCs w:val="20"/>
        </w:rPr>
        <w:t xml:space="preserve"> </w:t>
      </w:r>
      <w:r w:rsidRPr="00E2167C">
        <w:rPr>
          <w:rFonts w:cs="Calibri"/>
          <w:spacing w:val="-2"/>
          <w:sz w:val="20"/>
          <w:szCs w:val="20"/>
        </w:rPr>
        <w:t>Banc</w:t>
      </w:r>
      <w:r>
        <w:rPr>
          <w:rFonts w:cs="Calibri"/>
          <w:spacing w:val="-2"/>
          <w:sz w:val="20"/>
          <w:szCs w:val="20"/>
        </w:rPr>
        <w:t>o Interamericano de Desarrollo.</w:t>
      </w:r>
    </w:p>
    <w:p w:rsidR="00F31F60" w:rsidRPr="00137FB1" w:rsidRDefault="00F31F60" w:rsidP="008B14E5">
      <w:pPr>
        <w:ind w:left="567" w:hanging="567"/>
        <w:rPr>
          <w:rFonts w:cs="Calibri"/>
          <w:spacing w:val="-2"/>
          <w:sz w:val="20"/>
          <w:szCs w:val="20"/>
          <w:lang w:val="es-ES"/>
        </w:rPr>
      </w:pPr>
      <w:r w:rsidRPr="00137FB1">
        <w:rPr>
          <w:rFonts w:cs="Calibri"/>
          <w:b/>
          <w:spacing w:val="-2"/>
          <w:sz w:val="20"/>
          <w:szCs w:val="20"/>
          <w:lang w:val="es-ES"/>
        </w:rPr>
        <w:t>BPM</w:t>
      </w:r>
      <w:r w:rsidRPr="00137FB1">
        <w:rPr>
          <w:rFonts w:cs="Calibri"/>
          <w:spacing w:val="-2"/>
          <w:sz w:val="20"/>
          <w:szCs w:val="20"/>
          <w:lang w:val="es-ES"/>
        </w:rPr>
        <w:t>: Biodiversity Partnership Mesoamerica.</w:t>
      </w:r>
    </w:p>
    <w:p w:rsidR="001510B2" w:rsidRPr="00C47F74" w:rsidRDefault="001510B2" w:rsidP="008B14E5">
      <w:pPr>
        <w:ind w:left="567" w:hanging="567"/>
        <w:rPr>
          <w:rFonts w:cs="Calibri"/>
          <w:spacing w:val="-2"/>
          <w:sz w:val="20"/>
          <w:szCs w:val="20"/>
        </w:rPr>
      </w:pPr>
      <w:r w:rsidRPr="00C47F74">
        <w:rPr>
          <w:rFonts w:cs="Calibri"/>
          <w:b/>
          <w:spacing w:val="-2"/>
          <w:sz w:val="20"/>
          <w:szCs w:val="20"/>
        </w:rPr>
        <w:t>CAC-RUTA</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Unidad Regional para el Desarrollo Rural Sostenible de Centroamérica y República Dominicana del Consejo Agropecuario Centroamericano.</w:t>
      </w:r>
    </w:p>
    <w:p w:rsidR="001510B2" w:rsidRPr="00C47F74" w:rsidRDefault="001510B2" w:rsidP="008B14E5">
      <w:pPr>
        <w:ind w:left="567" w:hanging="567"/>
        <w:rPr>
          <w:rFonts w:cs="Calibri"/>
          <w:spacing w:val="-2"/>
          <w:sz w:val="20"/>
          <w:szCs w:val="20"/>
        </w:rPr>
      </w:pPr>
      <w:r w:rsidRPr="00C47F74">
        <w:rPr>
          <w:rFonts w:cs="Calibri"/>
          <w:b/>
          <w:spacing w:val="-2"/>
          <w:sz w:val="20"/>
          <w:szCs w:val="20"/>
        </w:rPr>
        <w:t>CENTA</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Centro Nacional de Tecnología Agropecuaria y Forestal, El Salvador.</w:t>
      </w:r>
    </w:p>
    <w:p w:rsidR="001510B2" w:rsidRDefault="001510B2" w:rsidP="008B14E5">
      <w:pPr>
        <w:ind w:left="567" w:hanging="567"/>
        <w:rPr>
          <w:rFonts w:cs="Calibri"/>
          <w:spacing w:val="-2"/>
          <w:sz w:val="20"/>
          <w:szCs w:val="20"/>
        </w:rPr>
      </w:pPr>
      <w:r w:rsidRPr="00F85B3C">
        <w:rPr>
          <w:rFonts w:cs="Calibri"/>
          <w:b/>
          <w:spacing w:val="-2"/>
          <w:sz w:val="20"/>
          <w:szCs w:val="20"/>
        </w:rPr>
        <w:t>CEPAL</w:t>
      </w:r>
      <w:r w:rsidR="00587D2A">
        <w:rPr>
          <w:rFonts w:cs="Calibri"/>
          <w:spacing w:val="-2"/>
          <w:sz w:val="20"/>
          <w:szCs w:val="20"/>
        </w:rPr>
        <w:t>:</w:t>
      </w:r>
      <w:r w:rsidR="003B6E7D" w:rsidRPr="003B6E7D">
        <w:rPr>
          <w:rFonts w:cs="Calibri"/>
          <w:spacing w:val="-2"/>
          <w:sz w:val="20"/>
          <w:szCs w:val="20"/>
        </w:rPr>
        <w:t xml:space="preserve"> </w:t>
      </w:r>
      <w:r w:rsidRPr="00F85B3C">
        <w:rPr>
          <w:rFonts w:cs="Calibri"/>
          <w:spacing w:val="-2"/>
          <w:sz w:val="20"/>
          <w:szCs w:val="20"/>
        </w:rPr>
        <w:t>Comisión Económica para América Latina y el Caribe</w:t>
      </w:r>
      <w:r>
        <w:rPr>
          <w:rFonts w:cs="Calibri"/>
          <w:spacing w:val="-2"/>
          <w:sz w:val="20"/>
          <w:szCs w:val="20"/>
        </w:rPr>
        <w:t>.</w:t>
      </w:r>
    </w:p>
    <w:p w:rsidR="001510B2" w:rsidRPr="00C47F74" w:rsidRDefault="001510B2" w:rsidP="008B14E5">
      <w:pPr>
        <w:ind w:left="567" w:hanging="567"/>
        <w:rPr>
          <w:rFonts w:cs="Calibri"/>
          <w:spacing w:val="-2"/>
          <w:sz w:val="20"/>
          <w:szCs w:val="20"/>
        </w:rPr>
      </w:pPr>
      <w:r w:rsidRPr="00C47F74">
        <w:rPr>
          <w:rFonts w:cs="Calibri"/>
          <w:b/>
          <w:spacing w:val="-2"/>
          <w:sz w:val="20"/>
          <w:szCs w:val="20"/>
        </w:rPr>
        <w:t>CONABIO</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Comisión Nacional para el Conocimiento y Uso de la Biodiversidad, México.</w:t>
      </w:r>
    </w:p>
    <w:p w:rsidR="001510B2" w:rsidRPr="00C47F74" w:rsidRDefault="001510B2" w:rsidP="008B14E5">
      <w:pPr>
        <w:ind w:left="567" w:hanging="567"/>
        <w:rPr>
          <w:rFonts w:cs="Calibri"/>
          <w:spacing w:val="-2"/>
          <w:sz w:val="20"/>
          <w:szCs w:val="20"/>
        </w:rPr>
      </w:pPr>
      <w:r w:rsidRPr="00C47F74">
        <w:rPr>
          <w:rFonts w:cs="Calibri"/>
          <w:b/>
          <w:spacing w:val="-2"/>
          <w:sz w:val="20"/>
          <w:szCs w:val="20"/>
        </w:rPr>
        <w:t>CONANP</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Comisión Nacional de Áreas Naturales Protegidas, México.</w:t>
      </w:r>
    </w:p>
    <w:p w:rsidR="001510B2" w:rsidRPr="00C47F74" w:rsidRDefault="001510B2" w:rsidP="008B14E5">
      <w:pPr>
        <w:ind w:left="567" w:hanging="567"/>
        <w:rPr>
          <w:rFonts w:cs="Calibri"/>
          <w:spacing w:val="-2"/>
          <w:sz w:val="20"/>
          <w:szCs w:val="20"/>
        </w:rPr>
      </w:pPr>
      <w:r w:rsidRPr="00C47F74">
        <w:rPr>
          <w:rFonts w:cs="Calibri"/>
          <w:b/>
          <w:spacing w:val="-2"/>
          <w:sz w:val="20"/>
          <w:szCs w:val="20"/>
        </w:rPr>
        <w:t>CONAP</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Consejo Nacional de Áreas Protegidas, Guatemala.</w:t>
      </w:r>
    </w:p>
    <w:p w:rsidR="001510B2" w:rsidRPr="00C47F74" w:rsidRDefault="001510B2" w:rsidP="008B14E5">
      <w:pPr>
        <w:ind w:left="567" w:hanging="567"/>
        <w:rPr>
          <w:rFonts w:cs="Calibri"/>
          <w:sz w:val="20"/>
          <w:szCs w:val="20"/>
        </w:rPr>
      </w:pPr>
      <w:r w:rsidRPr="00C47F74">
        <w:rPr>
          <w:rFonts w:cs="Calibri"/>
          <w:b/>
          <w:spacing w:val="-2"/>
          <w:sz w:val="20"/>
          <w:szCs w:val="20"/>
        </w:rPr>
        <w:t>ECOSUR</w:t>
      </w:r>
      <w:r w:rsidR="00587D2A">
        <w:rPr>
          <w:rFonts w:cs="Calibri"/>
          <w:sz w:val="20"/>
          <w:szCs w:val="20"/>
        </w:rPr>
        <w:t>:</w:t>
      </w:r>
      <w:r w:rsidR="003B6E7D" w:rsidRPr="003B6E7D">
        <w:rPr>
          <w:rFonts w:cs="Calibri"/>
          <w:sz w:val="20"/>
          <w:szCs w:val="20"/>
        </w:rPr>
        <w:t xml:space="preserve"> </w:t>
      </w:r>
      <w:r w:rsidRPr="00C47F74">
        <w:rPr>
          <w:rFonts w:cs="Calibri"/>
          <w:sz w:val="20"/>
          <w:szCs w:val="20"/>
        </w:rPr>
        <w:t>El Colegio de la Frontera Sur, México.</w:t>
      </w:r>
    </w:p>
    <w:p w:rsidR="001510B2" w:rsidRPr="00FA3887" w:rsidRDefault="001510B2" w:rsidP="008B14E5">
      <w:pPr>
        <w:ind w:left="567" w:hanging="567"/>
        <w:rPr>
          <w:rFonts w:cs="Calibri"/>
          <w:spacing w:val="-2"/>
          <w:sz w:val="20"/>
          <w:szCs w:val="20"/>
        </w:rPr>
      </w:pPr>
      <w:r w:rsidRPr="00FA3887">
        <w:rPr>
          <w:rFonts w:cs="Calibri"/>
          <w:b/>
          <w:spacing w:val="-2"/>
          <w:sz w:val="20"/>
          <w:szCs w:val="20"/>
        </w:rPr>
        <w:t>FAO</w:t>
      </w:r>
      <w:r w:rsidR="00587D2A">
        <w:rPr>
          <w:rFonts w:cs="Calibri"/>
          <w:sz w:val="20"/>
          <w:szCs w:val="20"/>
        </w:rPr>
        <w:t>:</w:t>
      </w:r>
      <w:r w:rsidR="003B6E7D" w:rsidRPr="003B6E7D">
        <w:rPr>
          <w:rFonts w:cs="Calibri"/>
          <w:sz w:val="20"/>
          <w:szCs w:val="20"/>
        </w:rPr>
        <w:t xml:space="preserve"> </w:t>
      </w:r>
      <w:r w:rsidRPr="00FA3887">
        <w:rPr>
          <w:rFonts w:cs="Calibri"/>
          <w:sz w:val="20"/>
          <w:szCs w:val="20"/>
        </w:rPr>
        <w:t>Organización de las Naciones Unidas para la Agricultura y la Alimentación.</w:t>
      </w:r>
    </w:p>
    <w:p w:rsidR="001510B2" w:rsidRPr="00E2167C" w:rsidRDefault="001510B2" w:rsidP="008B14E5">
      <w:pPr>
        <w:ind w:left="567" w:hanging="567"/>
        <w:rPr>
          <w:rFonts w:cs="Calibri"/>
          <w:spacing w:val="-2"/>
          <w:sz w:val="20"/>
          <w:szCs w:val="20"/>
        </w:rPr>
      </w:pPr>
      <w:r w:rsidRPr="00E2167C">
        <w:rPr>
          <w:rFonts w:cs="Calibri"/>
          <w:b/>
          <w:spacing w:val="-2"/>
          <w:sz w:val="20"/>
          <w:szCs w:val="20"/>
        </w:rPr>
        <w:t>GEF</w:t>
      </w:r>
      <w:r w:rsidR="00587D2A">
        <w:rPr>
          <w:rFonts w:cs="Calibri"/>
          <w:sz w:val="20"/>
          <w:szCs w:val="20"/>
        </w:rPr>
        <w:t>:</w:t>
      </w:r>
      <w:r w:rsidR="003B6E7D" w:rsidRPr="003B6E7D">
        <w:rPr>
          <w:rFonts w:cs="Calibri"/>
          <w:sz w:val="20"/>
          <w:szCs w:val="20"/>
        </w:rPr>
        <w:t xml:space="preserve"> </w:t>
      </w:r>
      <w:r w:rsidRPr="00E2167C">
        <w:rPr>
          <w:rFonts w:cs="Calibri"/>
          <w:sz w:val="20"/>
          <w:szCs w:val="20"/>
        </w:rPr>
        <w:t>Fondo para el Medio Ambiente Mundial.</w:t>
      </w:r>
    </w:p>
    <w:p w:rsidR="001510B2" w:rsidRPr="00C47F74" w:rsidRDefault="001510B2" w:rsidP="008B14E5">
      <w:pPr>
        <w:ind w:left="567" w:hanging="567"/>
        <w:rPr>
          <w:rFonts w:cs="Calibri"/>
          <w:spacing w:val="-2"/>
          <w:sz w:val="20"/>
          <w:szCs w:val="20"/>
        </w:rPr>
      </w:pPr>
      <w:r w:rsidRPr="00C47F74">
        <w:rPr>
          <w:rFonts w:cs="Calibri"/>
          <w:b/>
          <w:spacing w:val="-2"/>
          <w:sz w:val="20"/>
          <w:szCs w:val="20"/>
        </w:rPr>
        <w:t>GIZ</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Agencia Alemana de Cooperación Técnica.</w:t>
      </w:r>
    </w:p>
    <w:p w:rsidR="001510B2" w:rsidRPr="00E2167C" w:rsidRDefault="001510B2" w:rsidP="008B14E5">
      <w:pPr>
        <w:ind w:left="567" w:hanging="567"/>
        <w:rPr>
          <w:rFonts w:cs="Calibri"/>
          <w:sz w:val="20"/>
          <w:szCs w:val="20"/>
        </w:rPr>
      </w:pPr>
      <w:r w:rsidRPr="00E2167C">
        <w:rPr>
          <w:rFonts w:cs="Calibri"/>
          <w:b/>
          <w:spacing w:val="-2"/>
          <w:sz w:val="20"/>
          <w:szCs w:val="20"/>
        </w:rPr>
        <w:t>IBRD</w:t>
      </w:r>
      <w:r w:rsidR="00587D2A">
        <w:rPr>
          <w:rFonts w:cs="Calibri"/>
          <w:sz w:val="20"/>
          <w:szCs w:val="20"/>
        </w:rPr>
        <w:t>:</w:t>
      </w:r>
      <w:r w:rsidR="003B6E7D" w:rsidRPr="003B6E7D">
        <w:rPr>
          <w:rFonts w:cs="Calibri"/>
          <w:sz w:val="20"/>
          <w:szCs w:val="20"/>
        </w:rPr>
        <w:t xml:space="preserve"> </w:t>
      </w:r>
      <w:r w:rsidRPr="00E2167C">
        <w:rPr>
          <w:rFonts w:cs="Calibri"/>
          <w:sz w:val="20"/>
          <w:szCs w:val="20"/>
        </w:rPr>
        <w:t>Banco Internacional de Reconstrucción y Fomento (Banco Mundial.</w:t>
      </w:r>
    </w:p>
    <w:p w:rsidR="001510B2" w:rsidRPr="00C47F74" w:rsidRDefault="001510B2" w:rsidP="008B14E5">
      <w:pPr>
        <w:ind w:left="567" w:hanging="567"/>
        <w:rPr>
          <w:rFonts w:cs="Calibri"/>
          <w:spacing w:val="-2"/>
          <w:sz w:val="20"/>
          <w:szCs w:val="20"/>
        </w:rPr>
      </w:pPr>
      <w:r w:rsidRPr="00C47F74">
        <w:rPr>
          <w:rFonts w:cs="Calibri"/>
          <w:b/>
          <w:spacing w:val="-2"/>
          <w:sz w:val="20"/>
          <w:szCs w:val="20"/>
        </w:rPr>
        <w:lastRenderedPageBreak/>
        <w:t>ICF</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Instituto Nacional de Conservación y Desarrollo Forestal, Áreas Protegidas y Vida Silvestre, Honduras.</w:t>
      </w:r>
    </w:p>
    <w:p w:rsidR="001510B2" w:rsidRPr="00C47F74" w:rsidRDefault="001510B2" w:rsidP="008B14E5">
      <w:pPr>
        <w:ind w:left="567" w:hanging="567"/>
        <w:rPr>
          <w:rFonts w:cs="Calibri"/>
          <w:spacing w:val="-2"/>
          <w:sz w:val="20"/>
          <w:szCs w:val="20"/>
        </w:rPr>
      </w:pPr>
      <w:r w:rsidRPr="00C47F74">
        <w:rPr>
          <w:rFonts w:cs="Calibri"/>
          <w:b/>
          <w:spacing w:val="-2"/>
          <w:sz w:val="20"/>
          <w:szCs w:val="20"/>
        </w:rPr>
        <w:t>IIRB Humboldt</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Instituto de Investigación de Recursos Biológicos - Alexander von Humboldt, Colombia.</w:t>
      </w:r>
    </w:p>
    <w:p w:rsidR="001510B2" w:rsidRPr="00C47F74" w:rsidRDefault="001510B2" w:rsidP="008B14E5">
      <w:pPr>
        <w:ind w:left="567" w:hanging="567"/>
        <w:rPr>
          <w:rFonts w:cs="Calibri"/>
          <w:sz w:val="20"/>
          <w:szCs w:val="20"/>
        </w:rPr>
      </w:pPr>
      <w:r w:rsidRPr="00C47F74">
        <w:rPr>
          <w:rFonts w:cs="Calibri"/>
          <w:b/>
          <w:spacing w:val="-2"/>
          <w:sz w:val="20"/>
          <w:szCs w:val="20"/>
        </w:rPr>
        <w:t>INIFAP</w:t>
      </w:r>
      <w:r w:rsidR="00587D2A">
        <w:rPr>
          <w:rFonts w:cs="Calibri"/>
          <w:sz w:val="20"/>
          <w:szCs w:val="20"/>
        </w:rPr>
        <w:t>:</w:t>
      </w:r>
      <w:r w:rsidR="003B6E7D" w:rsidRPr="003B6E7D">
        <w:rPr>
          <w:rFonts w:cs="Calibri"/>
          <w:sz w:val="20"/>
          <w:szCs w:val="20"/>
        </w:rPr>
        <w:t xml:space="preserve"> </w:t>
      </w:r>
      <w:r w:rsidRPr="00C47F74">
        <w:rPr>
          <w:rFonts w:cs="Calibri"/>
          <w:sz w:val="20"/>
          <w:szCs w:val="20"/>
        </w:rPr>
        <w:t>Instituto Nacional de Investigaciones Forestales, Agrícolas y Pecuarias, México.</w:t>
      </w:r>
    </w:p>
    <w:p w:rsidR="001510B2" w:rsidRPr="00C47F74" w:rsidRDefault="001510B2" w:rsidP="008B14E5">
      <w:pPr>
        <w:ind w:left="567" w:hanging="567"/>
        <w:rPr>
          <w:rFonts w:cs="Calibri"/>
          <w:spacing w:val="-2"/>
          <w:sz w:val="20"/>
          <w:szCs w:val="20"/>
        </w:rPr>
      </w:pPr>
      <w:r w:rsidRPr="00C47F74">
        <w:rPr>
          <w:rFonts w:cs="Calibri"/>
          <w:b/>
          <w:spacing w:val="-2"/>
          <w:sz w:val="20"/>
          <w:szCs w:val="20"/>
        </w:rPr>
        <w:t>JICA</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Agencia de Cooperación Internacional de Japón.</w:t>
      </w:r>
    </w:p>
    <w:p w:rsidR="001510B2" w:rsidRPr="00C47F74" w:rsidRDefault="001510B2" w:rsidP="008B14E5">
      <w:pPr>
        <w:ind w:left="567" w:hanging="567"/>
        <w:rPr>
          <w:rFonts w:cs="Calibri"/>
          <w:spacing w:val="-2"/>
          <w:sz w:val="20"/>
          <w:szCs w:val="20"/>
          <w:lang w:val="en-US"/>
        </w:rPr>
      </w:pPr>
      <w:r w:rsidRPr="00C47F74">
        <w:rPr>
          <w:rFonts w:cs="Calibri"/>
          <w:b/>
          <w:spacing w:val="-2"/>
          <w:sz w:val="20"/>
          <w:szCs w:val="20"/>
          <w:lang w:val="en-US"/>
        </w:rPr>
        <w:t>MAF</w:t>
      </w:r>
      <w:r w:rsidR="00587D2A">
        <w:rPr>
          <w:rFonts w:cs="Calibri"/>
          <w:spacing w:val="-2"/>
          <w:sz w:val="20"/>
          <w:szCs w:val="20"/>
          <w:lang w:val="en-US"/>
        </w:rPr>
        <w:t>:</w:t>
      </w:r>
      <w:r w:rsidR="003B6E7D" w:rsidRPr="003B6E7D">
        <w:rPr>
          <w:rFonts w:cs="Calibri"/>
          <w:spacing w:val="-2"/>
          <w:sz w:val="20"/>
          <w:szCs w:val="20"/>
          <w:lang w:val="en-US"/>
        </w:rPr>
        <w:t xml:space="preserve"> </w:t>
      </w:r>
      <w:r w:rsidRPr="00C47F74">
        <w:rPr>
          <w:rFonts w:cs="Calibri"/>
          <w:spacing w:val="-2"/>
          <w:sz w:val="20"/>
          <w:szCs w:val="20"/>
          <w:lang w:val="en-US"/>
        </w:rPr>
        <w:t>Ministry of Agriculture &amp; Fisheries, Belize.</w:t>
      </w:r>
    </w:p>
    <w:p w:rsidR="001510B2" w:rsidRPr="00C47F74" w:rsidRDefault="001510B2" w:rsidP="008B14E5">
      <w:pPr>
        <w:ind w:left="567" w:hanging="567"/>
        <w:rPr>
          <w:rFonts w:cs="Calibri"/>
          <w:spacing w:val="-2"/>
          <w:sz w:val="20"/>
          <w:szCs w:val="20"/>
        </w:rPr>
      </w:pPr>
      <w:r w:rsidRPr="00C47F74">
        <w:rPr>
          <w:rFonts w:cs="Calibri"/>
          <w:b/>
          <w:spacing w:val="-2"/>
          <w:sz w:val="20"/>
          <w:szCs w:val="20"/>
        </w:rPr>
        <w:t>MAG</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Ministerio de Agricultura y Ganadería, Costa Rica.</w:t>
      </w:r>
    </w:p>
    <w:p w:rsidR="001510B2" w:rsidRPr="00C47F74" w:rsidRDefault="001510B2" w:rsidP="008B14E5">
      <w:pPr>
        <w:ind w:left="567" w:hanging="567"/>
        <w:rPr>
          <w:rFonts w:cs="Calibri"/>
          <w:spacing w:val="-2"/>
          <w:sz w:val="20"/>
          <w:szCs w:val="20"/>
        </w:rPr>
      </w:pPr>
      <w:r w:rsidRPr="00C47F74">
        <w:rPr>
          <w:rFonts w:cs="Calibri"/>
          <w:b/>
          <w:spacing w:val="-2"/>
          <w:sz w:val="20"/>
          <w:szCs w:val="20"/>
        </w:rPr>
        <w:t>MAG</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Ministerio de Agricultura y Ganadería, El Salvador.</w:t>
      </w:r>
    </w:p>
    <w:p w:rsidR="001510B2" w:rsidRPr="00C47F74" w:rsidRDefault="001510B2" w:rsidP="008B14E5">
      <w:pPr>
        <w:ind w:left="567" w:hanging="567"/>
        <w:rPr>
          <w:rFonts w:cs="Calibri"/>
          <w:spacing w:val="-2"/>
          <w:sz w:val="20"/>
          <w:szCs w:val="20"/>
        </w:rPr>
      </w:pPr>
      <w:r w:rsidRPr="00C47F74">
        <w:rPr>
          <w:rFonts w:cs="Calibri"/>
          <w:b/>
          <w:spacing w:val="-2"/>
          <w:sz w:val="20"/>
          <w:szCs w:val="20"/>
        </w:rPr>
        <w:t>MAGA</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Ministerio de Agricultura, Ganadería y Alimentación, Guatemala.</w:t>
      </w:r>
    </w:p>
    <w:p w:rsidR="001510B2" w:rsidRPr="00C47F74" w:rsidRDefault="001510B2" w:rsidP="008B14E5">
      <w:pPr>
        <w:ind w:left="567" w:hanging="567"/>
        <w:rPr>
          <w:rFonts w:cs="Calibri"/>
          <w:spacing w:val="-2"/>
          <w:sz w:val="20"/>
          <w:szCs w:val="20"/>
        </w:rPr>
      </w:pPr>
      <w:r w:rsidRPr="00C47F74">
        <w:rPr>
          <w:rFonts w:cs="Calibri"/>
          <w:b/>
          <w:spacing w:val="-2"/>
          <w:sz w:val="20"/>
          <w:szCs w:val="20"/>
        </w:rPr>
        <w:t>MAGFOR</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Ministerio Agropecuario y Forestal, Nicaragua.</w:t>
      </w:r>
    </w:p>
    <w:p w:rsidR="001510B2" w:rsidRPr="00C47F74" w:rsidRDefault="001510B2" w:rsidP="008B14E5">
      <w:pPr>
        <w:ind w:left="567" w:hanging="567"/>
        <w:rPr>
          <w:rFonts w:cs="Calibri"/>
          <w:spacing w:val="-2"/>
          <w:sz w:val="20"/>
          <w:szCs w:val="20"/>
        </w:rPr>
      </w:pPr>
      <w:r w:rsidRPr="00C47F74">
        <w:rPr>
          <w:rFonts w:cs="Calibri"/>
          <w:b/>
          <w:spacing w:val="-2"/>
          <w:sz w:val="20"/>
          <w:szCs w:val="20"/>
        </w:rPr>
        <w:t>MARENA</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Ministerio del Ambiente y Los Recursos Naturales, Nicaragua.</w:t>
      </w:r>
    </w:p>
    <w:p w:rsidR="001510B2" w:rsidRPr="00C47F74" w:rsidRDefault="001510B2" w:rsidP="008B14E5">
      <w:pPr>
        <w:ind w:left="567" w:hanging="567"/>
        <w:rPr>
          <w:rFonts w:cs="Calibri"/>
          <w:spacing w:val="-2"/>
          <w:sz w:val="20"/>
          <w:szCs w:val="20"/>
        </w:rPr>
      </w:pPr>
      <w:r w:rsidRPr="00C47F74">
        <w:rPr>
          <w:rFonts w:cs="Calibri"/>
          <w:b/>
          <w:spacing w:val="-2"/>
          <w:sz w:val="20"/>
          <w:szCs w:val="20"/>
        </w:rPr>
        <w:t>MARN</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Ministerio de Ambiente y Recursos Naturales, Guatemala.</w:t>
      </w:r>
    </w:p>
    <w:p w:rsidR="001510B2" w:rsidRPr="00C47F74" w:rsidRDefault="001510B2" w:rsidP="008B14E5">
      <w:pPr>
        <w:ind w:left="567" w:hanging="567"/>
        <w:rPr>
          <w:rFonts w:cs="Calibri"/>
          <w:spacing w:val="-2"/>
          <w:sz w:val="20"/>
          <w:szCs w:val="20"/>
        </w:rPr>
      </w:pPr>
      <w:r w:rsidRPr="00C47F74">
        <w:rPr>
          <w:rFonts w:cs="Calibri"/>
          <w:b/>
          <w:spacing w:val="-2"/>
          <w:sz w:val="20"/>
          <w:szCs w:val="20"/>
        </w:rPr>
        <w:t>MARN</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Ministerio de Medio Ambiente y Recursos Naturales, El Salvador.</w:t>
      </w:r>
    </w:p>
    <w:p w:rsidR="001510B2" w:rsidRPr="00C47F74" w:rsidRDefault="001510B2" w:rsidP="008B14E5">
      <w:pPr>
        <w:ind w:left="567" w:hanging="567"/>
        <w:rPr>
          <w:rFonts w:cs="Calibri"/>
          <w:spacing w:val="-2"/>
          <w:sz w:val="20"/>
          <w:szCs w:val="20"/>
        </w:rPr>
      </w:pPr>
      <w:r w:rsidRPr="00C47F74">
        <w:rPr>
          <w:rFonts w:cs="Calibri"/>
          <w:b/>
          <w:spacing w:val="-2"/>
          <w:sz w:val="20"/>
          <w:szCs w:val="20"/>
        </w:rPr>
        <w:t>MIDA</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Ministerio de Desarrollo Agropecuario, Panamá.</w:t>
      </w:r>
    </w:p>
    <w:p w:rsidR="001510B2" w:rsidRPr="00C47F74" w:rsidRDefault="001510B2" w:rsidP="008B14E5">
      <w:pPr>
        <w:ind w:left="567" w:hanging="567"/>
        <w:rPr>
          <w:rFonts w:cs="Calibri"/>
          <w:spacing w:val="-2"/>
          <w:sz w:val="20"/>
          <w:szCs w:val="20"/>
        </w:rPr>
      </w:pPr>
      <w:r w:rsidRPr="00C47F74">
        <w:rPr>
          <w:rFonts w:cs="Calibri"/>
          <w:b/>
          <w:spacing w:val="-2"/>
          <w:sz w:val="20"/>
          <w:szCs w:val="20"/>
        </w:rPr>
        <w:t>MINAET</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Ministerio del Ambiente Energía y Telecomunicaciones, Costa Rica.</w:t>
      </w:r>
    </w:p>
    <w:p w:rsidR="001510B2" w:rsidRPr="00C47F74" w:rsidRDefault="001510B2" w:rsidP="008B14E5">
      <w:pPr>
        <w:ind w:left="567" w:hanging="567"/>
        <w:rPr>
          <w:rFonts w:cs="Calibri"/>
          <w:spacing w:val="-2"/>
          <w:sz w:val="20"/>
          <w:szCs w:val="20"/>
        </w:rPr>
      </w:pPr>
      <w:r w:rsidRPr="00C47F74">
        <w:rPr>
          <w:rFonts w:cs="Calibri"/>
          <w:b/>
          <w:spacing w:val="-2"/>
          <w:sz w:val="20"/>
          <w:szCs w:val="20"/>
        </w:rPr>
        <w:t>MINAGRICULTURA</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Ministerio de Agricultura y Desarrollo Rural, Colombia.</w:t>
      </w:r>
    </w:p>
    <w:p w:rsidR="001510B2" w:rsidRPr="00C47F74" w:rsidRDefault="001510B2" w:rsidP="008B14E5">
      <w:pPr>
        <w:ind w:left="567" w:hanging="567"/>
        <w:rPr>
          <w:rFonts w:cs="Calibri"/>
          <w:spacing w:val="-2"/>
          <w:sz w:val="20"/>
          <w:szCs w:val="20"/>
        </w:rPr>
      </w:pPr>
      <w:r w:rsidRPr="00C47F74">
        <w:rPr>
          <w:rFonts w:cs="Calibri"/>
          <w:b/>
          <w:spacing w:val="-2"/>
          <w:sz w:val="20"/>
          <w:szCs w:val="20"/>
        </w:rPr>
        <w:t>MINAMBIENTE</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Ministerio de Ambiente y Desarrollo Sostenible, Colombia.</w:t>
      </w:r>
    </w:p>
    <w:p w:rsidR="001510B2" w:rsidRPr="00C47F74" w:rsidRDefault="001510B2" w:rsidP="008B14E5">
      <w:pPr>
        <w:ind w:left="567" w:hanging="567"/>
        <w:rPr>
          <w:rFonts w:cs="Calibri"/>
          <w:spacing w:val="-2"/>
          <w:sz w:val="20"/>
          <w:szCs w:val="20"/>
          <w:lang w:val="en-US"/>
        </w:rPr>
      </w:pPr>
      <w:r w:rsidRPr="00C47F74">
        <w:rPr>
          <w:rFonts w:cs="Calibri"/>
          <w:b/>
          <w:spacing w:val="-2"/>
          <w:sz w:val="20"/>
          <w:szCs w:val="20"/>
          <w:lang w:val="en-US"/>
        </w:rPr>
        <w:t>MNREI</w:t>
      </w:r>
      <w:r w:rsidR="00587D2A">
        <w:rPr>
          <w:rFonts w:cs="Calibri"/>
          <w:spacing w:val="-2"/>
          <w:sz w:val="20"/>
          <w:szCs w:val="20"/>
          <w:lang w:val="en-US"/>
        </w:rPr>
        <w:t>:</w:t>
      </w:r>
      <w:r w:rsidR="003B6E7D" w:rsidRPr="003B6E7D">
        <w:rPr>
          <w:rFonts w:cs="Calibri"/>
          <w:spacing w:val="-2"/>
          <w:sz w:val="20"/>
          <w:szCs w:val="20"/>
          <w:lang w:val="en-US"/>
        </w:rPr>
        <w:t xml:space="preserve"> </w:t>
      </w:r>
      <w:r w:rsidRPr="00C47F74">
        <w:rPr>
          <w:rFonts w:cs="Calibri"/>
          <w:spacing w:val="-2"/>
          <w:sz w:val="20"/>
          <w:szCs w:val="20"/>
          <w:lang w:val="en-US"/>
        </w:rPr>
        <w:t>Ministry of Natural Resources and the Environment, Belize.</w:t>
      </w:r>
    </w:p>
    <w:p w:rsidR="003B6E7D" w:rsidRPr="003B6E7D" w:rsidRDefault="003B6E7D" w:rsidP="008B14E5">
      <w:pPr>
        <w:ind w:left="567" w:hanging="567"/>
        <w:rPr>
          <w:rFonts w:cs="Calibri"/>
          <w:spacing w:val="-2"/>
          <w:sz w:val="20"/>
          <w:szCs w:val="20"/>
          <w:lang w:val="en-US"/>
        </w:rPr>
      </w:pPr>
      <w:r w:rsidRPr="003B6E7D">
        <w:rPr>
          <w:rFonts w:cs="Calibri"/>
          <w:b/>
          <w:spacing w:val="-2"/>
          <w:sz w:val="20"/>
          <w:szCs w:val="20"/>
          <w:lang w:val="en-US"/>
        </w:rPr>
        <w:t>MH</w:t>
      </w:r>
      <w:r w:rsidR="00587D2A">
        <w:rPr>
          <w:rFonts w:cs="Calibri"/>
          <w:spacing w:val="-2"/>
          <w:sz w:val="20"/>
          <w:szCs w:val="20"/>
          <w:lang w:val="en-US"/>
        </w:rPr>
        <w:t>:</w:t>
      </w:r>
      <w:r w:rsidRPr="003B6E7D">
        <w:rPr>
          <w:rFonts w:cs="Calibri"/>
          <w:spacing w:val="-2"/>
          <w:sz w:val="20"/>
          <w:szCs w:val="20"/>
          <w:lang w:val="en-US"/>
        </w:rPr>
        <w:t xml:space="preserve"> Ministry of Health, Belize</w:t>
      </w:r>
      <w:r w:rsidR="00587D2A">
        <w:rPr>
          <w:rFonts w:cs="Calibri"/>
          <w:spacing w:val="-2"/>
          <w:sz w:val="20"/>
          <w:szCs w:val="20"/>
          <w:lang w:val="en-US"/>
        </w:rPr>
        <w:t>.</w:t>
      </w:r>
    </w:p>
    <w:p w:rsidR="003B6E7D" w:rsidRDefault="003B6E7D" w:rsidP="008B14E5">
      <w:pPr>
        <w:ind w:left="567" w:hanging="567"/>
        <w:rPr>
          <w:rFonts w:cs="Calibri"/>
          <w:b/>
          <w:spacing w:val="-2"/>
          <w:sz w:val="20"/>
          <w:szCs w:val="20"/>
        </w:rPr>
      </w:pPr>
      <w:r w:rsidRPr="003B6E7D">
        <w:rPr>
          <w:rFonts w:cs="Calibri"/>
          <w:b/>
          <w:spacing w:val="-2"/>
          <w:sz w:val="20"/>
          <w:szCs w:val="20"/>
        </w:rPr>
        <w:lastRenderedPageBreak/>
        <w:t>MINSALUD</w:t>
      </w:r>
      <w:r>
        <w:rPr>
          <w:rFonts w:cs="Calibri"/>
          <w:b/>
          <w:spacing w:val="-2"/>
          <w:sz w:val="20"/>
          <w:szCs w:val="20"/>
        </w:rPr>
        <w:t>:</w:t>
      </w:r>
      <w:r w:rsidR="00587D2A" w:rsidRPr="00587D2A">
        <w:rPr>
          <w:rFonts w:cs="Calibri"/>
          <w:spacing w:val="-2"/>
          <w:sz w:val="20"/>
          <w:szCs w:val="20"/>
        </w:rPr>
        <w:t xml:space="preserve"> </w:t>
      </w:r>
      <w:r w:rsidR="00587D2A" w:rsidRPr="00C47F74">
        <w:rPr>
          <w:rFonts w:cs="Calibri"/>
          <w:spacing w:val="-2"/>
          <w:sz w:val="20"/>
          <w:szCs w:val="20"/>
        </w:rPr>
        <w:t xml:space="preserve">Ministerio de </w:t>
      </w:r>
      <w:r w:rsidR="00587D2A">
        <w:rPr>
          <w:rFonts w:cs="Calibri"/>
          <w:spacing w:val="-2"/>
          <w:sz w:val="20"/>
          <w:szCs w:val="20"/>
        </w:rPr>
        <w:t>Salud</w:t>
      </w:r>
      <w:r w:rsidR="00587D2A" w:rsidRPr="00C47F74">
        <w:rPr>
          <w:rFonts w:cs="Calibri"/>
          <w:spacing w:val="-2"/>
          <w:sz w:val="20"/>
          <w:szCs w:val="20"/>
        </w:rPr>
        <w:t>, Colombia.</w:t>
      </w:r>
    </w:p>
    <w:p w:rsidR="003B6E7D" w:rsidRPr="00587D2A" w:rsidRDefault="003B6E7D" w:rsidP="008B14E5">
      <w:pPr>
        <w:ind w:left="567" w:hanging="567"/>
        <w:rPr>
          <w:rFonts w:cs="Calibri"/>
          <w:spacing w:val="-2"/>
          <w:sz w:val="20"/>
          <w:szCs w:val="20"/>
        </w:rPr>
      </w:pPr>
      <w:r w:rsidRPr="003B6E7D">
        <w:rPr>
          <w:rFonts w:cs="Calibri"/>
          <w:b/>
          <w:spacing w:val="-2"/>
          <w:sz w:val="20"/>
          <w:szCs w:val="20"/>
        </w:rPr>
        <w:t>MSCR</w:t>
      </w:r>
      <w:r w:rsidRPr="00587D2A">
        <w:rPr>
          <w:rFonts w:cs="Calibri"/>
          <w:spacing w:val="-2"/>
          <w:sz w:val="20"/>
          <w:szCs w:val="20"/>
        </w:rPr>
        <w:t>:</w:t>
      </w:r>
      <w:r w:rsidR="00587D2A" w:rsidRPr="00587D2A">
        <w:rPr>
          <w:rFonts w:cs="Calibri"/>
          <w:spacing w:val="-2"/>
          <w:sz w:val="20"/>
          <w:szCs w:val="20"/>
        </w:rPr>
        <w:t xml:space="preserve"> Ministerio de Salud de Costa Rica</w:t>
      </w:r>
      <w:r w:rsidR="00587D2A">
        <w:rPr>
          <w:rFonts w:cs="Calibri"/>
          <w:spacing w:val="-2"/>
          <w:sz w:val="20"/>
          <w:szCs w:val="20"/>
        </w:rPr>
        <w:t>.</w:t>
      </w:r>
    </w:p>
    <w:p w:rsidR="003B6E7D" w:rsidRPr="003B6E7D" w:rsidRDefault="003B6E7D" w:rsidP="008B14E5">
      <w:pPr>
        <w:ind w:left="567" w:hanging="567"/>
        <w:rPr>
          <w:rFonts w:cs="Calibri"/>
          <w:spacing w:val="-2"/>
          <w:sz w:val="20"/>
          <w:szCs w:val="20"/>
        </w:rPr>
      </w:pPr>
      <w:r w:rsidRPr="003B6E7D">
        <w:rPr>
          <w:rFonts w:cs="Calibri"/>
          <w:b/>
          <w:spacing w:val="-2"/>
          <w:sz w:val="20"/>
          <w:szCs w:val="20"/>
        </w:rPr>
        <w:t>MINSAL</w:t>
      </w:r>
      <w:r w:rsidR="00587D2A">
        <w:rPr>
          <w:rFonts w:cs="Calibri"/>
          <w:spacing w:val="-2"/>
          <w:sz w:val="20"/>
          <w:szCs w:val="20"/>
        </w:rPr>
        <w:t>:</w:t>
      </w:r>
      <w:r w:rsidRPr="003B6E7D">
        <w:rPr>
          <w:rFonts w:cs="Calibri"/>
          <w:spacing w:val="-2"/>
          <w:sz w:val="20"/>
          <w:szCs w:val="20"/>
        </w:rPr>
        <w:t xml:space="preserve"> </w:t>
      </w:r>
      <w:r w:rsidR="00587D2A">
        <w:rPr>
          <w:rFonts w:cs="Calibri"/>
          <w:spacing w:val="-2"/>
          <w:sz w:val="20"/>
          <w:szCs w:val="20"/>
        </w:rPr>
        <w:t>Ministerio de Salud de El Salvador.</w:t>
      </w:r>
    </w:p>
    <w:p w:rsidR="003B6E7D" w:rsidRPr="00587D2A" w:rsidRDefault="003B6E7D" w:rsidP="008B14E5">
      <w:pPr>
        <w:ind w:left="567" w:hanging="567"/>
        <w:rPr>
          <w:rFonts w:cs="Calibri"/>
          <w:spacing w:val="-2"/>
          <w:sz w:val="20"/>
          <w:szCs w:val="20"/>
        </w:rPr>
      </w:pPr>
      <w:r w:rsidRPr="003B6E7D">
        <w:rPr>
          <w:rFonts w:cs="Calibri"/>
          <w:b/>
          <w:spacing w:val="-2"/>
          <w:sz w:val="20"/>
          <w:szCs w:val="20"/>
        </w:rPr>
        <w:t>MSPAS</w:t>
      </w:r>
      <w:r w:rsidR="00587D2A" w:rsidRPr="00587D2A">
        <w:rPr>
          <w:rFonts w:cs="Calibri"/>
          <w:spacing w:val="-2"/>
          <w:sz w:val="20"/>
          <w:szCs w:val="20"/>
        </w:rPr>
        <w:t>: Mini</w:t>
      </w:r>
      <w:r w:rsidR="00587D2A">
        <w:rPr>
          <w:rFonts w:cs="Calibri"/>
          <w:spacing w:val="-2"/>
          <w:sz w:val="20"/>
          <w:szCs w:val="20"/>
        </w:rPr>
        <w:t>s</w:t>
      </w:r>
      <w:r w:rsidR="00587D2A" w:rsidRPr="00587D2A">
        <w:rPr>
          <w:rFonts w:cs="Calibri"/>
          <w:spacing w:val="-2"/>
          <w:sz w:val="20"/>
          <w:szCs w:val="20"/>
        </w:rPr>
        <w:t>terio de Salud Pública y Asistencia Social</w:t>
      </w:r>
      <w:r w:rsidR="00587D2A">
        <w:rPr>
          <w:rFonts w:cs="Calibri"/>
          <w:spacing w:val="-2"/>
          <w:sz w:val="20"/>
          <w:szCs w:val="20"/>
        </w:rPr>
        <w:t>, Guatemala.</w:t>
      </w:r>
    </w:p>
    <w:p w:rsidR="003B6E7D" w:rsidRPr="003B6E7D" w:rsidRDefault="003B6E7D" w:rsidP="008B14E5">
      <w:pPr>
        <w:ind w:left="567" w:hanging="567"/>
        <w:rPr>
          <w:rFonts w:cs="Calibri"/>
          <w:spacing w:val="-2"/>
          <w:sz w:val="20"/>
          <w:szCs w:val="20"/>
        </w:rPr>
      </w:pPr>
      <w:r w:rsidRPr="003B6E7D">
        <w:rPr>
          <w:rFonts w:cs="Calibri"/>
          <w:b/>
          <w:spacing w:val="-2"/>
          <w:sz w:val="20"/>
          <w:szCs w:val="20"/>
        </w:rPr>
        <w:t>SS</w:t>
      </w:r>
      <w:r w:rsidR="00587D2A">
        <w:rPr>
          <w:rFonts w:cs="Calibri"/>
          <w:spacing w:val="-2"/>
          <w:sz w:val="20"/>
          <w:szCs w:val="20"/>
        </w:rPr>
        <w:t>:</w:t>
      </w:r>
      <w:r w:rsidRPr="003B6E7D">
        <w:rPr>
          <w:rFonts w:cs="Calibri"/>
          <w:spacing w:val="-2"/>
          <w:sz w:val="20"/>
          <w:szCs w:val="20"/>
        </w:rPr>
        <w:t xml:space="preserve"> </w:t>
      </w:r>
      <w:r w:rsidR="00587D2A">
        <w:rPr>
          <w:rFonts w:cs="Calibri"/>
          <w:spacing w:val="-2"/>
          <w:sz w:val="20"/>
          <w:szCs w:val="20"/>
        </w:rPr>
        <w:t>Secretaría de Salud, Honduras.</w:t>
      </w:r>
    </w:p>
    <w:p w:rsidR="003B6E7D" w:rsidRPr="00587D2A" w:rsidRDefault="003B6E7D" w:rsidP="008B14E5">
      <w:pPr>
        <w:ind w:left="567" w:hanging="567"/>
        <w:rPr>
          <w:rFonts w:cs="Calibri"/>
          <w:spacing w:val="-2"/>
          <w:sz w:val="20"/>
          <w:szCs w:val="20"/>
        </w:rPr>
      </w:pPr>
      <w:r w:rsidRPr="003B6E7D">
        <w:rPr>
          <w:rFonts w:cs="Calibri"/>
          <w:b/>
          <w:spacing w:val="-2"/>
          <w:sz w:val="20"/>
          <w:szCs w:val="20"/>
        </w:rPr>
        <w:t>SS</w:t>
      </w:r>
      <w:r w:rsidRPr="00587D2A">
        <w:rPr>
          <w:rFonts w:cs="Calibri"/>
          <w:spacing w:val="-2"/>
          <w:sz w:val="20"/>
          <w:szCs w:val="20"/>
        </w:rPr>
        <w:t>:</w:t>
      </w:r>
      <w:r w:rsidR="00587D2A" w:rsidRPr="00587D2A">
        <w:rPr>
          <w:rFonts w:cs="Calibri"/>
          <w:spacing w:val="-2"/>
          <w:sz w:val="20"/>
          <w:szCs w:val="20"/>
        </w:rPr>
        <w:t xml:space="preserve"> Secretaría de Salud, México.</w:t>
      </w:r>
    </w:p>
    <w:p w:rsidR="003B6E7D" w:rsidRPr="00587D2A" w:rsidRDefault="003B6E7D" w:rsidP="008B14E5">
      <w:pPr>
        <w:ind w:left="567" w:hanging="567"/>
        <w:rPr>
          <w:rFonts w:cs="Calibri"/>
          <w:spacing w:val="-2"/>
          <w:sz w:val="20"/>
          <w:szCs w:val="20"/>
        </w:rPr>
      </w:pPr>
      <w:r w:rsidRPr="003B6E7D">
        <w:rPr>
          <w:rFonts w:cs="Calibri"/>
          <w:b/>
          <w:spacing w:val="-2"/>
          <w:sz w:val="20"/>
          <w:szCs w:val="20"/>
        </w:rPr>
        <w:t>MINSA</w:t>
      </w:r>
      <w:r w:rsidRPr="00587D2A">
        <w:rPr>
          <w:rFonts w:cs="Calibri"/>
          <w:spacing w:val="-2"/>
          <w:sz w:val="20"/>
          <w:szCs w:val="20"/>
        </w:rPr>
        <w:t>:</w:t>
      </w:r>
      <w:r w:rsidR="00587D2A" w:rsidRPr="00587D2A">
        <w:rPr>
          <w:rFonts w:cs="Calibri"/>
          <w:spacing w:val="-2"/>
          <w:sz w:val="20"/>
          <w:szCs w:val="20"/>
        </w:rPr>
        <w:t xml:space="preserve"> Ministerio de Salud, Nicaragua.</w:t>
      </w:r>
    </w:p>
    <w:p w:rsidR="003B6E7D" w:rsidRPr="00587D2A" w:rsidRDefault="003B6E7D" w:rsidP="008B14E5">
      <w:pPr>
        <w:ind w:left="567" w:hanging="567"/>
        <w:rPr>
          <w:rFonts w:cs="Calibri"/>
          <w:spacing w:val="-2"/>
          <w:sz w:val="20"/>
          <w:szCs w:val="20"/>
        </w:rPr>
      </w:pPr>
      <w:r w:rsidRPr="003B6E7D">
        <w:rPr>
          <w:rFonts w:cs="Calibri"/>
          <w:b/>
          <w:spacing w:val="-2"/>
          <w:sz w:val="20"/>
          <w:szCs w:val="20"/>
        </w:rPr>
        <w:t>MINSA</w:t>
      </w:r>
      <w:r w:rsidR="00587D2A" w:rsidRPr="00587D2A">
        <w:rPr>
          <w:rFonts w:cs="Calibri"/>
          <w:spacing w:val="-2"/>
          <w:sz w:val="20"/>
          <w:szCs w:val="20"/>
        </w:rPr>
        <w:t>: Ministerio de Salud, Panamá.</w:t>
      </w:r>
    </w:p>
    <w:p w:rsidR="001510B2" w:rsidRPr="00C47F74" w:rsidRDefault="001510B2" w:rsidP="008B14E5">
      <w:pPr>
        <w:ind w:left="567" w:hanging="567"/>
        <w:rPr>
          <w:rFonts w:cs="Calibri"/>
          <w:spacing w:val="-2"/>
          <w:sz w:val="20"/>
          <w:szCs w:val="20"/>
        </w:rPr>
      </w:pPr>
      <w:r w:rsidRPr="00C47F74">
        <w:rPr>
          <w:rFonts w:cs="Calibri"/>
          <w:b/>
          <w:spacing w:val="-2"/>
          <w:sz w:val="20"/>
          <w:szCs w:val="20"/>
        </w:rPr>
        <w:t>SAG</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Secretaría de Agricultura y Ganadería, Honduras.</w:t>
      </w:r>
    </w:p>
    <w:p w:rsidR="001510B2" w:rsidRPr="00C47F74" w:rsidRDefault="001510B2" w:rsidP="008B14E5">
      <w:pPr>
        <w:ind w:left="567" w:hanging="567"/>
        <w:rPr>
          <w:rFonts w:cs="Calibri"/>
          <w:spacing w:val="-2"/>
          <w:sz w:val="20"/>
          <w:szCs w:val="20"/>
        </w:rPr>
      </w:pPr>
      <w:r w:rsidRPr="00C47F74">
        <w:rPr>
          <w:rFonts w:cs="Calibri"/>
          <w:b/>
          <w:spacing w:val="-2"/>
          <w:sz w:val="20"/>
          <w:szCs w:val="20"/>
        </w:rPr>
        <w:t>SE-CCAD</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Secretaría Ejecutiva de la Comisión Centroamericana de Ambiente y Desarrollo.</w:t>
      </w:r>
    </w:p>
    <w:p w:rsidR="001510B2" w:rsidRPr="00C47F74" w:rsidRDefault="001510B2" w:rsidP="008B14E5">
      <w:pPr>
        <w:ind w:left="567" w:hanging="567"/>
        <w:rPr>
          <w:rFonts w:cs="Calibri"/>
          <w:spacing w:val="-2"/>
          <w:sz w:val="20"/>
          <w:szCs w:val="20"/>
        </w:rPr>
      </w:pPr>
      <w:r w:rsidRPr="00C47F74">
        <w:rPr>
          <w:rFonts w:cs="Calibri"/>
          <w:b/>
          <w:spacing w:val="-2"/>
          <w:sz w:val="20"/>
          <w:szCs w:val="20"/>
        </w:rPr>
        <w:t>SERNA</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Secretaría de Recursos Naturales y Ambiente, Honduras.</w:t>
      </w:r>
    </w:p>
    <w:p w:rsidR="001510B2" w:rsidRPr="00C47F74" w:rsidRDefault="001510B2" w:rsidP="008B14E5">
      <w:pPr>
        <w:ind w:left="567" w:hanging="567"/>
        <w:rPr>
          <w:rFonts w:cs="Calibri"/>
          <w:spacing w:val="-2"/>
          <w:sz w:val="20"/>
          <w:szCs w:val="20"/>
        </w:rPr>
      </w:pPr>
      <w:r w:rsidRPr="00C47F74">
        <w:rPr>
          <w:rFonts w:cs="Calibri"/>
          <w:b/>
          <w:spacing w:val="-2"/>
          <w:sz w:val="20"/>
          <w:szCs w:val="20"/>
        </w:rPr>
        <w:t>SINAC</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Sistema Nacional de Áreas de Conservación, Costa Rica.</w:t>
      </w:r>
    </w:p>
    <w:p w:rsidR="001510B2" w:rsidRPr="00C47F74" w:rsidRDefault="001510B2" w:rsidP="008B14E5">
      <w:pPr>
        <w:ind w:left="567" w:hanging="567"/>
        <w:rPr>
          <w:rFonts w:cs="Calibri"/>
          <w:spacing w:val="-2"/>
          <w:sz w:val="20"/>
          <w:szCs w:val="20"/>
          <w:lang w:val="en-US"/>
        </w:rPr>
      </w:pPr>
      <w:r w:rsidRPr="00C47F74">
        <w:rPr>
          <w:rFonts w:cs="Calibri"/>
          <w:b/>
          <w:spacing w:val="-2"/>
          <w:sz w:val="20"/>
          <w:szCs w:val="20"/>
          <w:lang w:val="en-US"/>
        </w:rPr>
        <w:t>STRI</w:t>
      </w:r>
      <w:r w:rsidR="00587D2A">
        <w:rPr>
          <w:rFonts w:cs="Calibri"/>
          <w:spacing w:val="-2"/>
          <w:sz w:val="20"/>
          <w:szCs w:val="20"/>
          <w:lang w:val="en-US"/>
        </w:rPr>
        <w:t>:</w:t>
      </w:r>
      <w:r w:rsidR="003B6E7D" w:rsidRPr="003B6E7D">
        <w:rPr>
          <w:rFonts w:cs="Calibri"/>
          <w:spacing w:val="-2"/>
          <w:sz w:val="20"/>
          <w:szCs w:val="20"/>
          <w:lang w:val="en-US"/>
        </w:rPr>
        <w:t xml:space="preserve"> </w:t>
      </w:r>
      <w:r w:rsidRPr="00C47F74">
        <w:rPr>
          <w:rFonts w:cs="Calibri"/>
          <w:spacing w:val="-2"/>
          <w:sz w:val="20"/>
          <w:szCs w:val="20"/>
          <w:lang w:val="en-US"/>
        </w:rPr>
        <w:t>Smithsonian Tropical Research Institution.</w:t>
      </w:r>
    </w:p>
    <w:p w:rsidR="001510B2" w:rsidRPr="00C47F74" w:rsidRDefault="001510B2" w:rsidP="008B14E5">
      <w:pPr>
        <w:ind w:left="567" w:hanging="567"/>
        <w:rPr>
          <w:rFonts w:cs="Calibri"/>
          <w:spacing w:val="-2"/>
          <w:sz w:val="20"/>
          <w:szCs w:val="20"/>
        </w:rPr>
      </w:pPr>
      <w:r w:rsidRPr="00C47F74">
        <w:rPr>
          <w:rFonts w:cs="Calibri"/>
          <w:b/>
          <w:spacing w:val="-2"/>
          <w:sz w:val="20"/>
          <w:szCs w:val="20"/>
        </w:rPr>
        <w:t>UCI</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Universidad para la Cooperación Internacional</w:t>
      </w:r>
    </w:p>
    <w:p w:rsidR="001510B2" w:rsidRPr="00C47F74" w:rsidRDefault="001510B2" w:rsidP="008B14E5">
      <w:pPr>
        <w:ind w:left="567" w:hanging="567"/>
        <w:rPr>
          <w:rFonts w:cs="Calibri"/>
          <w:spacing w:val="-2"/>
          <w:sz w:val="20"/>
          <w:szCs w:val="20"/>
        </w:rPr>
      </w:pPr>
      <w:r w:rsidRPr="00C47F74">
        <w:rPr>
          <w:rFonts w:cs="Calibri"/>
          <w:b/>
          <w:spacing w:val="-2"/>
          <w:sz w:val="20"/>
          <w:szCs w:val="20"/>
        </w:rPr>
        <w:t>UICN</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Unión Internacional para la Conservación de la Naturaleza.</w:t>
      </w:r>
    </w:p>
    <w:p w:rsidR="001510B2" w:rsidRDefault="001510B2" w:rsidP="008B14E5">
      <w:pPr>
        <w:ind w:left="567" w:hanging="567"/>
        <w:rPr>
          <w:rFonts w:cs="Calibri"/>
          <w:spacing w:val="-2"/>
          <w:sz w:val="20"/>
          <w:szCs w:val="20"/>
        </w:rPr>
      </w:pPr>
      <w:r w:rsidRPr="00C47F74">
        <w:rPr>
          <w:rFonts w:cs="Calibri"/>
          <w:b/>
          <w:spacing w:val="-2"/>
          <w:sz w:val="20"/>
          <w:szCs w:val="20"/>
        </w:rPr>
        <w:t>ZAMORANO</w:t>
      </w:r>
      <w:r w:rsidR="00587D2A">
        <w:rPr>
          <w:rFonts w:cs="Calibri"/>
          <w:spacing w:val="-2"/>
          <w:sz w:val="20"/>
          <w:szCs w:val="20"/>
        </w:rPr>
        <w:t>:</w:t>
      </w:r>
      <w:r w:rsidR="003B6E7D" w:rsidRPr="003B6E7D">
        <w:rPr>
          <w:rFonts w:cs="Calibri"/>
          <w:spacing w:val="-2"/>
          <w:sz w:val="20"/>
          <w:szCs w:val="20"/>
        </w:rPr>
        <w:t xml:space="preserve"> </w:t>
      </w:r>
      <w:r w:rsidRPr="00C47F74">
        <w:rPr>
          <w:rFonts w:cs="Calibri"/>
          <w:spacing w:val="-2"/>
          <w:sz w:val="20"/>
          <w:szCs w:val="20"/>
        </w:rPr>
        <w:t>Escuela Agrícola Panamericana, Honduras.</w:t>
      </w:r>
    </w:p>
    <w:p w:rsidR="001468AE" w:rsidRDefault="001468AE" w:rsidP="008B14E5">
      <w:pPr>
        <w:ind w:left="567" w:hanging="567"/>
        <w:rPr>
          <w:rFonts w:cs="Calibri"/>
          <w:spacing w:val="-2"/>
          <w:sz w:val="20"/>
          <w:szCs w:val="20"/>
        </w:rPr>
        <w:sectPr w:rsidR="001468AE" w:rsidSect="001468AE">
          <w:type w:val="continuous"/>
          <w:pgSz w:w="15842" w:h="12242" w:orient="landscape" w:code="120"/>
          <w:pgMar w:top="720" w:right="720" w:bottom="720" w:left="720" w:header="567" w:footer="567" w:gutter="0"/>
          <w:cols w:num="3" w:space="708"/>
          <w:docGrid w:linePitch="360"/>
        </w:sectPr>
      </w:pPr>
    </w:p>
    <w:p w:rsidR="001F1D2E" w:rsidRDefault="001F1D2E">
      <w:pPr>
        <w:rPr>
          <w:rFonts w:eastAsia="Times New Roman"/>
          <w:b/>
          <w:bCs/>
          <w:sz w:val="28"/>
          <w:szCs w:val="28"/>
        </w:rPr>
      </w:pPr>
      <w:r>
        <w:lastRenderedPageBreak/>
        <w:br w:type="page"/>
      </w:r>
    </w:p>
    <w:p w:rsidR="005320BA" w:rsidRDefault="005320BA" w:rsidP="005320BA">
      <w:pPr>
        <w:pStyle w:val="Ttulo1anexo"/>
      </w:pPr>
      <w:bookmarkStart w:id="16" w:name="_Toc335491255"/>
      <w:r>
        <w:lastRenderedPageBreak/>
        <w:t xml:space="preserve">Anexo II. </w:t>
      </w:r>
      <w:r w:rsidRPr="005320BA">
        <w:t xml:space="preserve">Programas y proyectos </w:t>
      </w:r>
      <w:r>
        <w:t xml:space="preserve">actuales pertinentes para el plan </w:t>
      </w:r>
      <w:r w:rsidR="006204F4">
        <w:t>CBM-2020</w:t>
      </w:r>
      <w:bookmarkEnd w:id="16"/>
    </w:p>
    <w:p w:rsidR="00D96540" w:rsidRDefault="00D96540" w:rsidP="00D96540"/>
    <w:tbl>
      <w:tblPr>
        <w:tblStyle w:val="Tablaconcuadrcula"/>
        <w:tblW w:w="5000" w:type="pct"/>
        <w:tblLook w:val="04A0"/>
      </w:tblPr>
      <w:tblGrid>
        <w:gridCol w:w="5210"/>
        <w:gridCol w:w="2204"/>
        <w:gridCol w:w="2210"/>
      </w:tblGrid>
      <w:tr w:rsidR="00D96540" w:rsidTr="001A5E0F">
        <w:tc>
          <w:tcPr>
            <w:tcW w:w="2707" w:type="pct"/>
          </w:tcPr>
          <w:p w:rsidR="00D96540" w:rsidRDefault="00284959" w:rsidP="00284959">
            <w:pPr>
              <w:spacing w:before="60" w:after="60"/>
            </w:pPr>
            <w:r>
              <w:t xml:space="preserve">Programa de capacitación y transferencia tecnológica </w:t>
            </w:r>
            <w:r w:rsidR="004716EF">
              <w:t>(subcomponente</w:t>
            </w:r>
            <w:r w:rsidR="004716EF" w:rsidRPr="005320BA">
              <w:t xml:space="preserve"> </w:t>
            </w:r>
            <w:r>
              <w:t xml:space="preserve">3.3. </w:t>
            </w:r>
            <w:r w:rsidRPr="005320BA">
              <w:t xml:space="preserve">Promoción de </w:t>
            </w:r>
            <w:r>
              <w:t>alianzas</w:t>
            </w:r>
            <w:r w:rsidRPr="005320BA">
              <w:t xml:space="preserve"> y cooperación sur-sur</w:t>
            </w:r>
            <w:r>
              <w:t xml:space="preserve">, </w:t>
            </w:r>
            <w:r w:rsidR="004716EF">
              <w:t>del proyecto Sistemas productivos sostenibles y biodiversidad (SPSB))</w:t>
            </w:r>
          </w:p>
        </w:tc>
        <w:tc>
          <w:tcPr>
            <w:tcW w:w="1145" w:type="pct"/>
          </w:tcPr>
          <w:p w:rsidR="00D96540" w:rsidRDefault="00D96540" w:rsidP="00D96540">
            <w:pPr>
              <w:spacing w:before="60" w:after="60"/>
            </w:pPr>
            <w:r>
              <w:t>CONABIO-México</w:t>
            </w:r>
          </w:p>
          <w:p w:rsidR="00B56EC9" w:rsidRDefault="00B56EC9" w:rsidP="00D96540">
            <w:pPr>
              <w:spacing w:before="60" w:after="60"/>
            </w:pPr>
            <w:r>
              <w:t>GEF-Banco Mundial</w:t>
            </w:r>
          </w:p>
        </w:tc>
        <w:tc>
          <w:tcPr>
            <w:tcW w:w="1148" w:type="pct"/>
          </w:tcPr>
          <w:p w:rsidR="00D96540" w:rsidRDefault="003B1028" w:rsidP="00D96540">
            <w:pPr>
              <w:spacing w:before="60" w:after="60"/>
            </w:pPr>
            <w:r>
              <w:t>USD 1.8 millones</w:t>
            </w:r>
          </w:p>
          <w:p w:rsidR="003B1028" w:rsidRDefault="003B1028" w:rsidP="00D96540">
            <w:pPr>
              <w:spacing w:before="60" w:after="60"/>
            </w:pPr>
            <w:r>
              <w:t>60 meses, 2012-2017</w:t>
            </w:r>
          </w:p>
        </w:tc>
      </w:tr>
      <w:tr w:rsidR="00D96540" w:rsidTr="001A5E0F">
        <w:tc>
          <w:tcPr>
            <w:tcW w:w="2707" w:type="pct"/>
          </w:tcPr>
          <w:p w:rsidR="00D96540" w:rsidRDefault="00D96540" w:rsidP="00D96540">
            <w:r w:rsidRPr="00D96540">
              <w:t>Desarrollo del ambiente habilitador para la reconversión productiva agroalimentaria sostenible de la Cadena Volcánica Cakchiquel en el Altiplano Occidental de Guatemala (Primera fase)</w:t>
            </w:r>
          </w:p>
        </w:tc>
        <w:tc>
          <w:tcPr>
            <w:tcW w:w="1145" w:type="pct"/>
          </w:tcPr>
          <w:p w:rsidR="00D96540" w:rsidRDefault="00D96540" w:rsidP="00D96540">
            <w:pPr>
              <w:spacing w:before="60" w:after="60"/>
            </w:pPr>
            <w:r>
              <w:t>CONABIO-México</w:t>
            </w:r>
          </w:p>
          <w:p w:rsidR="00D96540" w:rsidRDefault="00D96540" w:rsidP="00D96540">
            <w:pPr>
              <w:spacing w:before="60" w:after="60"/>
            </w:pPr>
            <w:r>
              <w:t>AECID</w:t>
            </w:r>
          </w:p>
          <w:p w:rsidR="00D96540" w:rsidRDefault="00D96540" w:rsidP="00D96540">
            <w:pPr>
              <w:spacing w:before="60" w:after="60"/>
            </w:pPr>
            <w:r>
              <w:t>MARN-Guatemala</w:t>
            </w:r>
          </w:p>
        </w:tc>
        <w:tc>
          <w:tcPr>
            <w:tcW w:w="1148" w:type="pct"/>
          </w:tcPr>
          <w:p w:rsidR="00D96540" w:rsidRDefault="003B1028" w:rsidP="00D96540">
            <w:pPr>
              <w:spacing w:before="60" w:after="60"/>
            </w:pPr>
            <w:r>
              <w:t>240,000 euros</w:t>
            </w:r>
          </w:p>
          <w:p w:rsidR="003B1028" w:rsidRDefault="003B1028" w:rsidP="00D96540">
            <w:pPr>
              <w:spacing w:before="60" w:after="60"/>
            </w:pPr>
            <w:r>
              <w:t>12 meses, 2012-2013</w:t>
            </w:r>
          </w:p>
        </w:tc>
      </w:tr>
      <w:tr w:rsidR="00D96540" w:rsidTr="001A5E0F">
        <w:tc>
          <w:tcPr>
            <w:tcW w:w="2707" w:type="pct"/>
          </w:tcPr>
          <w:p w:rsidR="00D96540" w:rsidRPr="00D96540" w:rsidRDefault="00A265CD" w:rsidP="00D96540">
            <w:r>
              <w:t>Programa para fortalecer la gestión comunitaria en apoyo de la estrategia REDD+ en Mesoamérica</w:t>
            </w:r>
          </w:p>
        </w:tc>
        <w:tc>
          <w:tcPr>
            <w:tcW w:w="1145" w:type="pct"/>
          </w:tcPr>
          <w:p w:rsidR="00A265CD" w:rsidRDefault="00A265CD" w:rsidP="00A265CD">
            <w:pPr>
              <w:spacing w:before="60" w:after="60"/>
            </w:pPr>
            <w:r>
              <w:t>CONABIO-México</w:t>
            </w:r>
          </w:p>
          <w:p w:rsidR="00A265CD" w:rsidRDefault="00A265CD" w:rsidP="00A265CD">
            <w:pPr>
              <w:spacing w:before="60" w:after="60"/>
            </w:pPr>
            <w:r>
              <w:t>FIDA</w:t>
            </w:r>
          </w:p>
          <w:p w:rsidR="00D96540" w:rsidRDefault="00A265CD" w:rsidP="00D96540">
            <w:pPr>
              <w:spacing w:before="60" w:after="60"/>
            </w:pPr>
            <w:r>
              <w:t>UICN Mesoamérica</w:t>
            </w:r>
          </w:p>
        </w:tc>
        <w:tc>
          <w:tcPr>
            <w:tcW w:w="1148" w:type="pct"/>
          </w:tcPr>
          <w:p w:rsidR="00D96540" w:rsidRDefault="00A265CD" w:rsidP="00D96540">
            <w:pPr>
              <w:spacing w:before="60" w:after="60"/>
            </w:pPr>
            <w:r>
              <w:t>USD 2 millones</w:t>
            </w:r>
          </w:p>
          <w:p w:rsidR="00A265CD" w:rsidRDefault="00A265CD" w:rsidP="00D96540">
            <w:pPr>
              <w:spacing w:before="60" w:after="60"/>
            </w:pPr>
            <w:r>
              <w:t>24 meses, 2012-2014</w:t>
            </w:r>
          </w:p>
        </w:tc>
      </w:tr>
      <w:tr w:rsidR="00D96540" w:rsidTr="001A5E0F">
        <w:tc>
          <w:tcPr>
            <w:tcW w:w="2707" w:type="pct"/>
          </w:tcPr>
          <w:p w:rsidR="00D96540" w:rsidRPr="00D96540" w:rsidRDefault="00D96540" w:rsidP="00D96540"/>
        </w:tc>
        <w:tc>
          <w:tcPr>
            <w:tcW w:w="1145" w:type="pct"/>
          </w:tcPr>
          <w:p w:rsidR="00D96540" w:rsidRDefault="00D96540" w:rsidP="00D96540">
            <w:pPr>
              <w:spacing w:before="60" w:after="60"/>
            </w:pPr>
          </w:p>
        </w:tc>
        <w:tc>
          <w:tcPr>
            <w:tcW w:w="1148" w:type="pct"/>
          </w:tcPr>
          <w:p w:rsidR="00D96540" w:rsidRDefault="00D96540" w:rsidP="00D96540">
            <w:pPr>
              <w:spacing w:before="60" w:after="60"/>
            </w:pPr>
          </w:p>
        </w:tc>
      </w:tr>
      <w:tr w:rsidR="00D96540" w:rsidTr="001A5E0F">
        <w:tc>
          <w:tcPr>
            <w:tcW w:w="2707" w:type="pct"/>
          </w:tcPr>
          <w:p w:rsidR="00D96540" w:rsidRPr="00D96540" w:rsidRDefault="00D96540" w:rsidP="00D96540"/>
        </w:tc>
        <w:tc>
          <w:tcPr>
            <w:tcW w:w="1145" w:type="pct"/>
          </w:tcPr>
          <w:p w:rsidR="00D96540" w:rsidRDefault="00D96540" w:rsidP="00D96540">
            <w:pPr>
              <w:spacing w:before="60" w:after="60"/>
            </w:pPr>
          </w:p>
        </w:tc>
        <w:tc>
          <w:tcPr>
            <w:tcW w:w="1148" w:type="pct"/>
          </w:tcPr>
          <w:p w:rsidR="00D96540" w:rsidRDefault="00D96540" w:rsidP="00D96540">
            <w:pPr>
              <w:spacing w:before="60" w:after="60"/>
            </w:pPr>
          </w:p>
        </w:tc>
      </w:tr>
      <w:tr w:rsidR="00D96540" w:rsidTr="001A5E0F">
        <w:tc>
          <w:tcPr>
            <w:tcW w:w="2707" w:type="pct"/>
          </w:tcPr>
          <w:p w:rsidR="00D96540" w:rsidRPr="00D96540" w:rsidRDefault="00D96540" w:rsidP="00D96540"/>
        </w:tc>
        <w:tc>
          <w:tcPr>
            <w:tcW w:w="1145" w:type="pct"/>
          </w:tcPr>
          <w:p w:rsidR="00D96540" w:rsidRDefault="00D96540" w:rsidP="00D96540">
            <w:pPr>
              <w:spacing w:before="60" w:after="60"/>
            </w:pPr>
          </w:p>
        </w:tc>
        <w:tc>
          <w:tcPr>
            <w:tcW w:w="1148" w:type="pct"/>
          </w:tcPr>
          <w:p w:rsidR="00D96540" w:rsidRDefault="00D96540" w:rsidP="00D96540">
            <w:pPr>
              <w:spacing w:before="60" w:after="60"/>
            </w:pPr>
          </w:p>
        </w:tc>
      </w:tr>
    </w:tbl>
    <w:p w:rsidR="00D96540" w:rsidRDefault="00D96540" w:rsidP="00D96540"/>
    <w:p w:rsidR="005320BA" w:rsidRDefault="005320BA" w:rsidP="00D96540"/>
    <w:p w:rsidR="00163D26" w:rsidRDefault="000C6326" w:rsidP="00163D26">
      <w:pPr>
        <w:pStyle w:val="Ttulo1anexo"/>
      </w:pPr>
      <w:bookmarkStart w:id="17" w:name="_Toc335491256"/>
      <w:r>
        <w:lastRenderedPageBreak/>
        <w:t xml:space="preserve">Anexo III. </w:t>
      </w:r>
      <w:r w:rsidR="00163D26">
        <w:t xml:space="preserve">Hoja de ruta para impulsar el plan </w:t>
      </w:r>
      <w:r w:rsidR="00DD3946">
        <w:t xml:space="preserve">director </w:t>
      </w:r>
      <w:r w:rsidR="006204F4">
        <w:t>CBM-</w:t>
      </w:r>
      <w:r w:rsidR="00163D26">
        <w:t>2020</w:t>
      </w:r>
      <w:bookmarkEnd w:id="17"/>
    </w:p>
    <w:p w:rsidR="00557418" w:rsidRDefault="00557418" w:rsidP="00557418"/>
    <w:tbl>
      <w:tblPr>
        <w:tblStyle w:val="Tablaconcuadrcula"/>
        <w:tblW w:w="0" w:type="auto"/>
        <w:tblLook w:val="04A0"/>
      </w:tblPr>
      <w:tblGrid>
        <w:gridCol w:w="5353"/>
        <w:gridCol w:w="4195"/>
      </w:tblGrid>
      <w:tr w:rsidR="00557418" w:rsidTr="007374D7">
        <w:tc>
          <w:tcPr>
            <w:tcW w:w="5353" w:type="dxa"/>
            <w:shd w:val="clear" w:color="auto" w:fill="D9D9D9" w:themeFill="background1" w:themeFillShade="D9"/>
            <w:vAlign w:val="center"/>
          </w:tcPr>
          <w:p w:rsidR="00557418" w:rsidRPr="00557418" w:rsidRDefault="00557418" w:rsidP="007374D7">
            <w:pPr>
              <w:spacing w:before="60" w:after="60"/>
              <w:rPr>
                <w:b/>
                <w:i/>
              </w:rPr>
            </w:pPr>
            <w:r w:rsidRPr="00557418">
              <w:rPr>
                <w:b/>
                <w:i/>
              </w:rPr>
              <w:t>Asunto</w:t>
            </w:r>
          </w:p>
        </w:tc>
        <w:tc>
          <w:tcPr>
            <w:tcW w:w="4195" w:type="dxa"/>
            <w:shd w:val="clear" w:color="auto" w:fill="D9D9D9" w:themeFill="background1" w:themeFillShade="D9"/>
            <w:vAlign w:val="center"/>
          </w:tcPr>
          <w:p w:rsidR="00557418" w:rsidRPr="00557418" w:rsidRDefault="00557418" w:rsidP="007374D7">
            <w:pPr>
              <w:spacing w:before="60" w:after="60"/>
              <w:rPr>
                <w:b/>
                <w:i/>
              </w:rPr>
            </w:pPr>
            <w:r w:rsidRPr="00557418">
              <w:rPr>
                <w:b/>
                <w:i/>
              </w:rPr>
              <w:t>Realización</w:t>
            </w:r>
          </w:p>
        </w:tc>
      </w:tr>
      <w:tr w:rsidR="00557418" w:rsidTr="007374D7">
        <w:tc>
          <w:tcPr>
            <w:tcW w:w="5353" w:type="dxa"/>
            <w:vAlign w:val="center"/>
          </w:tcPr>
          <w:p w:rsidR="00557418" w:rsidRDefault="00557418" w:rsidP="007374D7">
            <w:pPr>
              <w:spacing w:before="60" w:after="60"/>
            </w:pPr>
            <w:r>
              <w:t>Debate de conceptos y postulados de enfoque territorial</w:t>
            </w:r>
          </w:p>
        </w:tc>
        <w:tc>
          <w:tcPr>
            <w:tcW w:w="4195" w:type="dxa"/>
            <w:vAlign w:val="center"/>
          </w:tcPr>
          <w:p w:rsidR="00557418" w:rsidRDefault="00557418" w:rsidP="007374D7">
            <w:pPr>
              <w:spacing w:before="60" w:after="60"/>
            </w:pPr>
            <w:r>
              <w:t>Grupo enlaces en sesión de simposio de corredores del congreso SMBC Panamá</w:t>
            </w:r>
          </w:p>
        </w:tc>
      </w:tr>
      <w:tr w:rsidR="00557418" w:rsidTr="007374D7">
        <w:tc>
          <w:tcPr>
            <w:tcW w:w="5353" w:type="dxa"/>
            <w:vAlign w:val="center"/>
          </w:tcPr>
          <w:p w:rsidR="00557418" w:rsidRDefault="00557418" w:rsidP="00DD3946">
            <w:pPr>
              <w:spacing w:before="60" w:after="60"/>
            </w:pPr>
            <w:r>
              <w:t>Revisar</w:t>
            </w:r>
            <w:r w:rsidR="007374D7">
              <w:t xml:space="preserve"> borrador d</w:t>
            </w:r>
            <w:r>
              <w:t>el documento base del plan director</w:t>
            </w:r>
            <w:r w:rsidR="00DD3946">
              <w:t xml:space="preserve"> con actores gubernamentales</w:t>
            </w:r>
          </w:p>
        </w:tc>
        <w:tc>
          <w:tcPr>
            <w:tcW w:w="4195" w:type="dxa"/>
            <w:vAlign w:val="center"/>
          </w:tcPr>
          <w:p w:rsidR="00557418" w:rsidRDefault="00557418" w:rsidP="007374D7">
            <w:pPr>
              <w:spacing w:before="60" w:after="60"/>
            </w:pPr>
            <w:r>
              <w:t>Séptima reunión de enlaces Panamá</w:t>
            </w:r>
          </w:p>
        </w:tc>
      </w:tr>
      <w:tr w:rsidR="00A11B2C" w:rsidTr="00F23348">
        <w:tc>
          <w:tcPr>
            <w:tcW w:w="5353" w:type="dxa"/>
            <w:vAlign w:val="center"/>
          </w:tcPr>
          <w:p w:rsidR="00A11B2C" w:rsidRDefault="00A11B2C" w:rsidP="00F23348">
            <w:pPr>
              <w:spacing w:before="60" w:after="60"/>
            </w:pPr>
            <w:r>
              <w:t>Revisar y consensuar e</w:t>
            </w:r>
            <w:r w:rsidRPr="00A11B2C">
              <w:t>jes estratégicos y líneas de acción</w:t>
            </w:r>
          </w:p>
        </w:tc>
        <w:tc>
          <w:tcPr>
            <w:tcW w:w="4195" w:type="dxa"/>
            <w:vAlign w:val="center"/>
          </w:tcPr>
          <w:p w:rsidR="00A11B2C" w:rsidRDefault="00A11B2C" w:rsidP="00F23348">
            <w:pPr>
              <w:spacing w:before="60" w:after="60"/>
            </w:pPr>
            <w:r>
              <w:t>Séptima reunión de enlaces Panamá</w:t>
            </w:r>
          </w:p>
        </w:tc>
      </w:tr>
      <w:tr w:rsidR="00DD3946" w:rsidTr="00F23348">
        <w:tc>
          <w:tcPr>
            <w:tcW w:w="5353" w:type="dxa"/>
            <w:vAlign w:val="center"/>
          </w:tcPr>
          <w:p w:rsidR="00DD3946" w:rsidRDefault="00DD3946" w:rsidP="00F23348">
            <w:pPr>
              <w:spacing w:before="60" w:after="60"/>
            </w:pPr>
            <w:r>
              <w:t>Redactar y consensuar un párrafo para promover su inclusión en declaración Cumbre Mecanismo Tuxtla 2012.</w:t>
            </w:r>
          </w:p>
        </w:tc>
        <w:tc>
          <w:tcPr>
            <w:tcW w:w="4195" w:type="dxa"/>
            <w:vAlign w:val="center"/>
          </w:tcPr>
          <w:p w:rsidR="00DD3946" w:rsidRDefault="00D23DE3" w:rsidP="00F23348">
            <w:pPr>
              <w:spacing w:before="60" w:after="60"/>
            </w:pPr>
            <w:r>
              <w:t>Fecha límite 1 octubre 2012</w:t>
            </w:r>
          </w:p>
        </w:tc>
      </w:tr>
      <w:tr w:rsidR="00A11B2C" w:rsidTr="007374D7">
        <w:tc>
          <w:tcPr>
            <w:tcW w:w="5353" w:type="dxa"/>
            <w:vAlign w:val="center"/>
          </w:tcPr>
          <w:p w:rsidR="00A11B2C" w:rsidRDefault="00A11B2C" w:rsidP="00F23348">
            <w:pPr>
              <w:spacing w:before="60" w:after="60"/>
            </w:pPr>
            <w:r>
              <w:t>Revisar borrador del documento base del plan director</w:t>
            </w:r>
            <w:r w:rsidR="00DD3946">
              <w:t xml:space="preserve"> con actores no gubernamentales</w:t>
            </w:r>
          </w:p>
        </w:tc>
        <w:tc>
          <w:tcPr>
            <w:tcW w:w="4195" w:type="dxa"/>
            <w:vAlign w:val="center"/>
          </w:tcPr>
          <w:p w:rsidR="00A11B2C" w:rsidRDefault="00A11B2C" w:rsidP="007374D7">
            <w:pPr>
              <w:spacing w:before="60" w:after="60"/>
            </w:pPr>
          </w:p>
        </w:tc>
      </w:tr>
      <w:tr w:rsidR="00DB2F7F" w:rsidTr="007374D7">
        <w:tc>
          <w:tcPr>
            <w:tcW w:w="5353" w:type="dxa"/>
            <w:vAlign w:val="center"/>
          </w:tcPr>
          <w:p w:rsidR="00DB2F7F" w:rsidRDefault="00DB2F7F" w:rsidP="00DD3946">
            <w:pPr>
              <w:spacing w:before="60" w:after="60"/>
            </w:pPr>
            <w:r>
              <w:t>Revisar y completar lista de actores con incidencia potencial en el CBM</w:t>
            </w:r>
          </w:p>
        </w:tc>
        <w:tc>
          <w:tcPr>
            <w:tcW w:w="4195" w:type="dxa"/>
            <w:vAlign w:val="center"/>
          </w:tcPr>
          <w:p w:rsidR="00DB2F7F" w:rsidRDefault="00DB2F7F" w:rsidP="007374D7">
            <w:pPr>
              <w:spacing w:before="60" w:after="60"/>
            </w:pPr>
          </w:p>
        </w:tc>
      </w:tr>
      <w:tr w:rsidR="00A11B2C" w:rsidTr="007374D7">
        <w:tc>
          <w:tcPr>
            <w:tcW w:w="5353" w:type="dxa"/>
            <w:vAlign w:val="center"/>
          </w:tcPr>
          <w:p w:rsidR="00A11B2C" w:rsidRDefault="00A11B2C" w:rsidP="00DD3946">
            <w:pPr>
              <w:spacing w:before="60" w:after="60"/>
            </w:pPr>
            <w:r>
              <w:t>Redactar declaración o lista de principios para ser suscrita por un grupo significativo de actores</w:t>
            </w:r>
          </w:p>
        </w:tc>
        <w:tc>
          <w:tcPr>
            <w:tcW w:w="4195" w:type="dxa"/>
            <w:vAlign w:val="center"/>
          </w:tcPr>
          <w:p w:rsidR="00A11B2C" w:rsidRDefault="00A11B2C" w:rsidP="007374D7">
            <w:pPr>
              <w:spacing w:before="60" w:after="60"/>
            </w:pPr>
          </w:p>
        </w:tc>
      </w:tr>
      <w:tr w:rsidR="00A11B2C" w:rsidTr="007374D7">
        <w:tc>
          <w:tcPr>
            <w:tcW w:w="5353" w:type="dxa"/>
            <w:vAlign w:val="center"/>
          </w:tcPr>
          <w:p w:rsidR="00A11B2C" w:rsidRDefault="00A11B2C" w:rsidP="00DD3946">
            <w:pPr>
              <w:spacing w:before="60" w:after="60"/>
            </w:pPr>
            <w:r>
              <w:t xml:space="preserve">Preparar guía </w:t>
            </w:r>
            <w:r w:rsidR="00DD3946">
              <w:t xml:space="preserve">de formulación </w:t>
            </w:r>
            <w:r>
              <w:t xml:space="preserve">de proyectos </w:t>
            </w:r>
            <w:r w:rsidR="00DD3946">
              <w:t xml:space="preserve">alineados </w:t>
            </w:r>
            <w:r>
              <w:t>con el plan director</w:t>
            </w:r>
          </w:p>
        </w:tc>
        <w:tc>
          <w:tcPr>
            <w:tcW w:w="4195" w:type="dxa"/>
            <w:vAlign w:val="center"/>
          </w:tcPr>
          <w:p w:rsidR="00A11B2C" w:rsidRDefault="00A11B2C" w:rsidP="007374D7">
            <w:pPr>
              <w:spacing w:before="60" w:after="60"/>
            </w:pPr>
          </w:p>
        </w:tc>
      </w:tr>
      <w:tr w:rsidR="00A11B2C" w:rsidTr="007374D7">
        <w:tc>
          <w:tcPr>
            <w:tcW w:w="5353" w:type="dxa"/>
            <w:vAlign w:val="center"/>
          </w:tcPr>
          <w:p w:rsidR="00A11B2C" w:rsidRDefault="00DD3946" w:rsidP="00DD3946">
            <w:r>
              <w:t>Establecer mecanismo de s</w:t>
            </w:r>
            <w:r w:rsidR="00A11B2C">
              <w:t xml:space="preserve">ecretariado </w:t>
            </w:r>
            <w:r>
              <w:t>para</w:t>
            </w:r>
            <w:r w:rsidR="00A11B2C">
              <w:t xml:space="preserve"> tareas y funciones de enlace, consulta y coordinación</w:t>
            </w:r>
          </w:p>
        </w:tc>
        <w:tc>
          <w:tcPr>
            <w:tcW w:w="4195" w:type="dxa"/>
            <w:vAlign w:val="center"/>
          </w:tcPr>
          <w:p w:rsidR="00A11B2C" w:rsidRDefault="00A11B2C" w:rsidP="007374D7">
            <w:pPr>
              <w:spacing w:before="60" w:after="60"/>
            </w:pPr>
          </w:p>
        </w:tc>
      </w:tr>
      <w:tr w:rsidR="00A11B2C" w:rsidTr="007374D7">
        <w:tc>
          <w:tcPr>
            <w:tcW w:w="5353" w:type="dxa"/>
            <w:vAlign w:val="center"/>
          </w:tcPr>
          <w:p w:rsidR="00A11B2C" w:rsidRDefault="00DD3946" w:rsidP="00DD3946">
            <w:pPr>
              <w:spacing w:before="60" w:after="60"/>
            </w:pPr>
            <w:r>
              <w:t>Establec</w:t>
            </w:r>
            <w:r w:rsidR="00A11B2C">
              <w:t xml:space="preserve">er mecanismo de gobernanza o acuerdo para dar impulso y seguimiento al plan director </w:t>
            </w:r>
          </w:p>
        </w:tc>
        <w:tc>
          <w:tcPr>
            <w:tcW w:w="4195" w:type="dxa"/>
            <w:vAlign w:val="center"/>
          </w:tcPr>
          <w:p w:rsidR="00A11B2C" w:rsidRDefault="00A11B2C" w:rsidP="007374D7">
            <w:pPr>
              <w:spacing w:before="60" w:after="60"/>
            </w:pPr>
          </w:p>
        </w:tc>
      </w:tr>
      <w:tr w:rsidR="00A11B2C" w:rsidTr="007374D7">
        <w:tc>
          <w:tcPr>
            <w:tcW w:w="5353" w:type="dxa"/>
            <w:vAlign w:val="center"/>
          </w:tcPr>
          <w:p w:rsidR="00A11B2C" w:rsidRDefault="00A11B2C" w:rsidP="007374D7">
            <w:pPr>
              <w:spacing w:before="60" w:after="60"/>
            </w:pPr>
          </w:p>
        </w:tc>
        <w:tc>
          <w:tcPr>
            <w:tcW w:w="4195" w:type="dxa"/>
            <w:vAlign w:val="center"/>
          </w:tcPr>
          <w:p w:rsidR="00A11B2C" w:rsidRDefault="00A11B2C" w:rsidP="007374D7">
            <w:pPr>
              <w:spacing w:before="60" w:after="60"/>
            </w:pPr>
          </w:p>
        </w:tc>
      </w:tr>
      <w:tr w:rsidR="00D23DE3" w:rsidTr="007374D7">
        <w:tc>
          <w:tcPr>
            <w:tcW w:w="5353" w:type="dxa"/>
            <w:vAlign w:val="center"/>
          </w:tcPr>
          <w:p w:rsidR="00D23DE3" w:rsidRDefault="00D23DE3" w:rsidP="007374D7">
            <w:pPr>
              <w:spacing w:before="60" w:after="60"/>
            </w:pPr>
          </w:p>
        </w:tc>
        <w:tc>
          <w:tcPr>
            <w:tcW w:w="4195" w:type="dxa"/>
            <w:vAlign w:val="center"/>
          </w:tcPr>
          <w:p w:rsidR="00D23DE3" w:rsidRDefault="00D23DE3" w:rsidP="007374D7">
            <w:pPr>
              <w:spacing w:before="60" w:after="60"/>
            </w:pPr>
          </w:p>
        </w:tc>
      </w:tr>
      <w:tr w:rsidR="00D23DE3" w:rsidTr="007374D7">
        <w:tc>
          <w:tcPr>
            <w:tcW w:w="5353" w:type="dxa"/>
            <w:vAlign w:val="center"/>
          </w:tcPr>
          <w:p w:rsidR="00D23DE3" w:rsidRDefault="00D23DE3" w:rsidP="007374D7">
            <w:pPr>
              <w:spacing w:before="60" w:after="60"/>
            </w:pPr>
          </w:p>
        </w:tc>
        <w:tc>
          <w:tcPr>
            <w:tcW w:w="4195" w:type="dxa"/>
            <w:vAlign w:val="center"/>
          </w:tcPr>
          <w:p w:rsidR="00D23DE3" w:rsidRDefault="00D23DE3" w:rsidP="007374D7">
            <w:pPr>
              <w:spacing w:before="60" w:after="60"/>
            </w:pPr>
          </w:p>
        </w:tc>
      </w:tr>
      <w:tr w:rsidR="00D23DE3" w:rsidTr="007374D7">
        <w:tc>
          <w:tcPr>
            <w:tcW w:w="5353" w:type="dxa"/>
            <w:vAlign w:val="center"/>
          </w:tcPr>
          <w:p w:rsidR="00D23DE3" w:rsidRDefault="00D23DE3" w:rsidP="007374D7">
            <w:pPr>
              <w:spacing w:before="60" w:after="60"/>
            </w:pPr>
          </w:p>
        </w:tc>
        <w:tc>
          <w:tcPr>
            <w:tcW w:w="4195" w:type="dxa"/>
            <w:vAlign w:val="center"/>
          </w:tcPr>
          <w:p w:rsidR="00D23DE3" w:rsidRDefault="00D23DE3" w:rsidP="007374D7">
            <w:pPr>
              <w:spacing w:before="60" w:after="60"/>
            </w:pPr>
          </w:p>
        </w:tc>
      </w:tr>
    </w:tbl>
    <w:p w:rsidR="00163D26" w:rsidRDefault="00163D26" w:rsidP="007374D7"/>
    <w:sectPr w:rsidR="00163D26" w:rsidSect="00163D26">
      <w:footerReference w:type="default" r:id="rId10"/>
      <w:pgSz w:w="12242" w:h="15842" w:code="120"/>
      <w:pgMar w:top="1701" w:right="1417" w:bottom="1701"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ACC" w:rsidRDefault="00E93ACC" w:rsidP="007E16B6">
      <w:pPr>
        <w:spacing w:after="0"/>
      </w:pPr>
      <w:r>
        <w:separator/>
      </w:r>
    </w:p>
  </w:endnote>
  <w:endnote w:type="continuationSeparator" w:id="1">
    <w:p w:rsidR="00E93ACC" w:rsidRDefault="00E93ACC" w:rsidP="007E16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2382"/>
      <w:docPartObj>
        <w:docPartGallery w:val="Page Numbers (Bottom of Page)"/>
        <w:docPartUnique/>
      </w:docPartObj>
    </w:sdtPr>
    <w:sdtContent>
      <w:p w:rsidR="00F23348" w:rsidRDefault="0067118E" w:rsidP="00BF0604">
        <w:pPr>
          <w:pStyle w:val="Piedepgina"/>
          <w:jc w:val="center"/>
        </w:pPr>
        <w:fldSimple w:instr=" PAGE   \* MERGEFORMAT ">
          <w:r w:rsidR="00657095">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4691"/>
      <w:docPartObj>
        <w:docPartGallery w:val="Page Numbers (Bottom of Page)"/>
        <w:docPartUnique/>
      </w:docPartObj>
    </w:sdtPr>
    <w:sdtContent>
      <w:p w:rsidR="00F23348" w:rsidRDefault="0067118E" w:rsidP="00BF0604">
        <w:pPr>
          <w:pStyle w:val="Piedepgina"/>
          <w:jc w:val="center"/>
        </w:pPr>
        <w:fldSimple w:instr=" PAGE   \* MERGEFORMAT ">
          <w:r w:rsidR="00657095">
            <w:rPr>
              <w:noProof/>
            </w:rPr>
            <w:t>11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48" w:rsidRPr="00163D26" w:rsidRDefault="00F23348" w:rsidP="00163D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ACC" w:rsidRDefault="00E93ACC" w:rsidP="007E16B6">
      <w:pPr>
        <w:spacing w:after="0"/>
      </w:pPr>
      <w:r>
        <w:separator/>
      </w:r>
    </w:p>
  </w:footnote>
  <w:footnote w:type="continuationSeparator" w:id="1">
    <w:p w:rsidR="00E93ACC" w:rsidRDefault="00E93ACC" w:rsidP="007E16B6">
      <w:pPr>
        <w:spacing w:after="0"/>
      </w:pPr>
      <w:r>
        <w:continuationSeparator/>
      </w:r>
    </w:p>
  </w:footnote>
  <w:footnote w:id="2">
    <w:p w:rsidR="00F23348" w:rsidRPr="0082007E" w:rsidRDefault="00F23348" w:rsidP="0082007E">
      <w:pPr>
        <w:pStyle w:val="NotaPie"/>
      </w:pPr>
      <w:r w:rsidRPr="0082007E">
        <w:rPr>
          <w:rStyle w:val="Refdenotaalpie"/>
          <w:vertAlign w:val="baseline"/>
        </w:rPr>
        <w:footnoteRef/>
      </w:r>
      <w:r w:rsidRPr="0082007E">
        <w:t xml:space="preserve"> Los documentos de estas reuniones pueden consultarse en </w:t>
      </w:r>
      <w:hyperlink r:id="rId1" w:history="1">
        <w:r w:rsidRPr="0082007E">
          <w:rPr>
            <w:rStyle w:val="Hipervnculo"/>
            <w:color w:val="auto"/>
            <w:u w:val="none"/>
          </w:rPr>
          <w:t>https://sites.google.com/site/cbmenlace/</w:t>
        </w:r>
      </w:hyperlink>
    </w:p>
  </w:footnote>
  <w:footnote w:id="3">
    <w:p w:rsidR="00F23348" w:rsidRPr="0082007E" w:rsidRDefault="00F23348" w:rsidP="00C21E82">
      <w:pPr>
        <w:pStyle w:val="NotaPie"/>
      </w:pPr>
      <w:r w:rsidRPr="0082007E">
        <w:rPr>
          <w:rStyle w:val="Refdenotaalpie"/>
          <w:vertAlign w:val="baseline"/>
        </w:rPr>
        <w:footnoteRef/>
      </w:r>
      <w:r w:rsidRPr="0082007E">
        <w:t xml:space="preserve"> Puede entenderse el CBM como un socioecosistema que es un subsistema o sistema anidado del socioecosistema mayor que es Mesoamérica.</w:t>
      </w:r>
    </w:p>
  </w:footnote>
  <w:footnote w:id="4">
    <w:p w:rsidR="00F23348" w:rsidRPr="0082007E" w:rsidRDefault="00F23348" w:rsidP="001F1D2E">
      <w:pPr>
        <w:pStyle w:val="NotaPie"/>
      </w:pPr>
      <w:r w:rsidRPr="0082007E">
        <w:rPr>
          <w:rStyle w:val="Refdenotaalpie"/>
          <w:vertAlign w:val="baseline"/>
        </w:rPr>
        <w:footnoteRef/>
      </w:r>
      <w:r w:rsidRPr="0082007E">
        <w:t xml:space="preserve"> </w:t>
      </w:r>
      <w:r>
        <w:t xml:space="preserve">Los servicios que prestan los ecosistemas son los beneficios que las personas obtienen de los ecosistemas. Estos beneficios contemplan servicios de </w:t>
      </w:r>
      <w:r w:rsidRPr="00521D79">
        <w:rPr>
          <w:i/>
        </w:rPr>
        <w:t>suministro</w:t>
      </w:r>
      <w:r>
        <w:t xml:space="preserve">, como los alimentos y el agua; servicios de </w:t>
      </w:r>
      <w:r w:rsidRPr="00521D79">
        <w:rPr>
          <w:i/>
        </w:rPr>
        <w:t>regulación</w:t>
      </w:r>
      <w:r>
        <w:t xml:space="preserve">, como la regulación de las inundaciones, las sequías, la degradación del suelo y las enfermedades; servicios de </w:t>
      </w:r>
      <w:r w:rsidRPr="00521D79">
        <w:rPr>
          <w:i/>
        </w:rPr>
        <w:t>base o soporte</w:t>
      </w:r>
      <w:r>
        <w:t xml:space="preserve">, como la formación del suelo y los ciclos de los nutrientes; y servicios </w:t>
      </w:r>
      <w:r w:rsidRPr="00521D79">
        <w:rPr>
          <w:i/>
        </w:rPr>
        <w:t>culturales</w:t>
      </w:r>
      <w:r>
        <w:t>, como los beneficios recreacionales, espirituales, religiosos y otros beneficios intangibles (</w:t>
      </w:r>
      <w:hyperlink r:id="rId2" w:history="1">
        <w:r w:rsidRPr="004F147A">
          <w:rPr>
            <w:rStyle w:val="Hipervnculo"/>
          </w:rPr>
          <w:t>Ecosistemas y Bienestar Humano: Marco para la Evaluación. Informe del Grupo de Trabajo sobre Marco Conceptual de la Evaluación de Ecosistemas del Mileni</w:t>
        </w:r>
        <w:r w:rsidR="00AE1490">
          <w:rPr>
            <w:rStyle w:val="Hipervnculo"/>
          </w:rPr>
          <w:t>o, 2003</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727"/>
    <w:multiLevelType w:val="hybridMultilevel"/>
    <w:tmpl w:val="29B68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D581F"/>
    <w:multiLevelType w:val="hybridMultilevel"/>
    <w:tmpl w:val="E402D0CA"/>
    <w:lvl w:ilvl="0" w:tplc="50A4F9D6">
      <w:start w:val="1"/>
      <w:numFmt w:val="decimal"/>
      <w:lvlText w:val="%1."/>
      <w:lvlJc w:val="left"/>
      <w:pPr>
        <w:ind w:left="360" w:hanging="360"/>
      </w:pPr>
      <w:rPr>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58E0B55"/>
    <w:multiLevelType w:val="multilevel"/>
    <w:tmpl w:val="BCB856F4"/>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B31FC9"/>
    <w:multiLevelType w:val="multilevel"/>
    <w:tmpl w:val="E8548B62"/>
    <w:lvl w:ilvl="0">
      <w:start w:val="1"/>
      <w:numFmt w:val="upperRoman"/>
      <w:pStyle w:val="Ttulo1"/>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613DFF"/>
    <w:multiLevelType w:val="multilevel"/>
    <w:tmpl w:val="11FC5A60"/>
    <w:lvl w:ilvl="0">
      <w:start w:val="1"/>
      <w:numFmt w:val="upperRoma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37D2F6F"/>
    <w:multiLevelType w:val="hybridMultilevel"/>
    <w:tmpl w:val="7E284E34"/>
    <w:lvl w:ilvl="0" w:tplc="0C0A000F">
      <w:start w:val="1"/>
      <w:numFmt w:val="decimal"/>
      <w:lvlText w:val="%1."/>
      <w:lvlJc w:val="left"/>
      <w:pPr>
        <w:ind w:left="360" w:hanging="360"/>
      </w:pPr>
    </w:lvl>
    <w:lvl w:ilvl="1" w:tplc="6AE67B3C">
      <w:start w:val="1"/>
      <w:numFmt w:val="bullet"/>
      <w:lvlText w:val=""/>
      <w:lvlJc w:val="left"/>
      <w:pPr>
        <w:ind w:left="1080" w:hanging="360"/>
      </w:pPr>
      <w:rPr>
        <w:rFonts w:ascii="Wingdings" w:hAnsi="Wingdings" w:hint="default"/>
        <w:color w:val="auto"/>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8881687"/>
    <w:multiLevelType w:val="hybridMultilevel"/>
    <w:tmpl w:val="FB522E7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30AE389C"/>
    <w:multiLevelType w:val="hybridMultilevel"/>
    <w:tmpl w:val="11787C90"/>
    <w:lvl w:ilvl="0" w:tplc="C0A4F91A">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4C41DD"/>
    <w:multiLevelType w:val="multilevel"/>
    <w:tmpl w:val="BCB856F4"/>
    <w:lvl w:ilvl="0">
      <w:start w:val="1"/>
      <w:numFmt w:val="upperRoman"/>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3C7A4C79"/>
    <w:multiLevelType w:val="hybridMultilevel"/>
    <w:tmpl w:val="F05EFC5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42D65E13"/>
    <w:multiLevelType w:val="hybridMultilevel"/>
    <w:tmpl w:val="99086B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344217"/>
    <w:multiLevelType w:val="hybridMultilevel"/>
    <w:tmpl w:val="6B921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F1A45CF"/>
    <w:multiLevelType w:val="hybridMultilevel"/>
    <w:tmpl w:val="0366DD9E"/>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771E7D26"/>
    <w:multiLevelType w:val="hybridMultilevel"/>
    <w:tmpl w:val="963046EA"/>
    <w:lvl w:ilvl="0" w:tplc="6AE67B3C">
      <w:start w:val="1"/>
      <w:numFmt w:val="bullet"/>
      <w:lvlText w:val=""/>
      <w:lvlJc w:val="left"/>
      <w:pPr>
        <w:ind w:left="360" w:hanging="360"/>
      </w:pPr>
      <w:rPr>
        <w:rFonts w:ascii="Wingdings" w:hAnsi="Wingdings" w:hint="default"/>
        <w:color w:val="auto"/>
      </w:rPr>
    </w:lvl>
    <w:lvl w:ilvl="1" w:tplc="C0A4F91A">
      <w:start w:val="1"/>
      <w:numFmt w:val="bullet"/>
      <w:lvlText w:val="–"/>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7"/>
  </w:num>
  <w:num w:numId="4">
    <w:abstractNumId w:val="12"/>
  </w:num>
  <w:num w:numId="5">
    <w:abstractNumId w:val="6"/>
  </w:num>
  <w:num w:numId="6">
    <w:abstractNumId w:val="9"/>
  </w:num>
  <w:num w:numId="7">
    <w:abstractNumId w:val="4"/>
  </w:num>
  <w:num w:numId="8">
    <w:abstractNumId w:val="3"/>
  </w:num>
  <w:num w:numId="9">
    <w:abstractNumId w:val="10"/>
  </w:num>
  <w:num w:numId="10">
    <w:abstractNumId w:val="1"/>
  </w:num>
  <w:num w:numId="11">
    <w:abstractNumId w:val="11"/>
  </w:num>
  <w:num w:numId="12">
    <w:abstractNumId w:val="0"/>
  </w:num>
  <w:num w:numId="13">
    <w:abstractNumId w:val="2"/>
  </w:num>
  <w:num w:numId="14">
    <w:abstractNumId w:val="8"/>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9"/>
  <w:hyphenationZone w:val="425"/>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BF7E33"/>
    <w:rsid w:val="00001461"/>
    <w:rsid w:val="00002D4F"/>
    <w:rsid w:val="0001391C"/>
    <w:rsid w:val="000141BD"/>
    <w:rsid w:val="00030793"/>
    <w:rsid w:val="00030F44"/>
    <w:rsid w:val="000352F9"/>
    <w:rsid w:val="0003766E"/>
    <w:rsid w:val="000413B1"/>
    <w:rsid w:val="000454C2"/>
    <w:rsid w:val="0005355C"/>
    <w:rsid w:val="00065A5B"/>
    <w:rsid w:val="00070EE5"/>
    <w:rsid w:val="00071A3D"/>
    <w:rsid w:val="000744C3"/>
    <w:rsid w:val="00074B6E"/>
    <w:rsid w:val="000815E6"/>
    <w:rsid w:val="000844DE"/>
    <w:rsid w:val="000860D5"/>
    <w:rsid w:val="000900A6"/>
    <w:rsid w:val="000931E7"/>
    <w:rsid w:val="000A3B93"/>
    <w:rsid w:val="000B1F3D"/>
    <w:rsid w:val="000B2A6A"/>
    <w:rsid w:val="000C43F8"/>
    <w:rsid w:val="000C4EAC"/>
    <w:rsid w:val="000C5270"/>
    <w:rsid w:val="000C6326"/>
    <w:rsid w:val="000D0119"/>
    <w:rsid w:val="000D16DA"/>
    <w:rsid w:val="000F37D7"/>
    <w:rsid w:val="00105990"/>
    <w:rsid w:val="00106E2D"/>
    <w:rsid w:val="001375F6"/>
    <w:rsid w:val="00137F41"/>
    <w:rsid w:val="00137FB1"/>
    <w:rsid w:val="0014430F"/>
    <w:rsid w:val="001468AE"/>
    <w:rsid w:val="00146B80"/>
    <w:rsid w:val="001510B2"/>
    <w:rsid w:val="00153AC5"/>
    <w:rsid w:val="00163D26"/>
    <w:rsid w:val="00173B86"/>
    <w:rsid w:val="00175371"/>
    <w:rsid w:val="0017630D"/>
    <w:rsid w:val="00176B50"/>
    <w:rsid w:val="0018527C"/>
    <w:rsid w:val="00187821"/>
    <w:rsid w:val="00193350"/>
    <w:rsid w:val="00194249"/>
    <w:rsid w:val="00195E81"/>
    <w:rsid w:val="001A11D8"/>
    <w:rsid w:val="001A2870"/>
    <w:rsid w:val="001A4807"/>
    <w:rsid w:val="001A564C"/>
    <w:rsid w:val="001A5E0F"/>
    <w:rsid w:val="001B0B75"/>
    <w:rsid w:val="001C0480"/>
    <w:rsid w:val="001C2826"/>
    <w:rsid w:val="001C3AC7"/>
    <w:rsid w:val="001C73F2"/>
    <w:rsid w:val="001D15D2"/>
    <w:rsid w:val="001D2DEB"/>
    <w:rsid w:val="001E1288"/>
    <w:rsid w:val="001E40AA"/>
    <w:rsid w:val="001E4B1F"/>
    <w:rsid w:val="001F1D2E"/>
    <w:rsid w:val="00201C60"/>
    <w:rsid w:val="00202A16"/>
    <w:rsid w:val="00220FC2"/>
    <w:rsid w:val="002320D2"/>
    <w:rsid w:val="00235712"/>
    <w:rsid w:val="00237A39"/>
    <w:rsid w:val="0024219F"/>
    <w:rsid w:val="00254C12"/>
    <w:rsid w:val="00266547"/>
    <w:rsid w:val="00271DA8"/>
    <w:rsid w:val="00272221"/>
    <w:rsid w:val="00275C65"/>
    <w:rsid w:val="00284959"/>
    <w:rsid w:val="00294B64"/>
    <w:rsid w:val="002958C2"/>
    <w:rsid w:val="002A0546"/>
    <w:rsid w:val="002A7848"/>
    <w:rsid w:val="002B27DD"/>
    <w:rsid w:val="002B2A71"/>
    <w:rsid w:val="002C22A7"/>
    <w:rsid w:val="002D489E"/>
    <w:rsid w:val="002D7B2A"/>
    <w:rsid w:val="002E18E1"/>
    <w:rsid w:val="002E22EA"/>
    <w:rsid w:val="002E7802"/>
    <w:rsid w:val="00300689"/>
    <w:rsid w:val="00301E04"/>
    <w:rsid w:val="0030455D"/>
    <w:rsid w:val="003111A2"/>
    <w:rsid w:val="00311E7C"/>
    <w:rsid w:val="00314224"/>
    <w:rsid w:val="003155B9"/>
    <w:rsid w:val="00316375"/>
    <w:rsid w:val="00320B35"/>
    <w:rsid w:val="003244AF"/>
    <w:rsid w:val="00330496"/>
    <w:rsid w:val="00331C98"/>
    <w:rsid w:val="00343110"/>
    <w:rsid w:val="003443DC"/>
    <w:rsid w:val="00346BC0"/>
    <w:rsid w:val="00356C91"/>
    <w:rsid w:val="00360863"/>
    <w:rsid w:val="003660BA"/>
    <w:rsid w:val="00373947"/>
    <w:rsid w:val="003779CC"/>
    <w:rsid w:val="00380D6C"/>
    <w:rsid w:val="003878F0"/>
    <w:rsid w:val="00391ACF"/>
    <w:rsid w:val="003931F4"/>
    <w:rsid w:val="003A2277"/>
    <w:rsid w:val="003A2744"/>
    <w:rsid w:val="003A3755"/>
    <w:rsid w:val="003B0554"/>
    <w:rsid w:val="003B1028"/>
    <w:rsid w:val="003B16B6"/>
    <w:rsid w:val="003B6E7D"/>
    <w:rsid w:val="003C14FA"/>
    <w:rsid w:val="003C197C"/>
    <w:rsid w:val="003D09B0"/>
    <w:rsid w:val="003D1E8A"/>
    <w:rsid w:val="003D29D3"/>
    <w:rsid w:val="003D3DE6"/>
    <w:rsid w:val="003D71F1"/>
    <w:rsid w:val="003E0330"/>
    <w:rsid w:val="003E09AF"/>
    <w:rsid w:val="003F1C20"/>
    <w:rsid w:val="003F5807"/>
    <w:rsid w:val="003F727F"/>
    <w:rsid w:val="003F753F"/>
    <w:rsid w:val="00402400"/>
    <w:rsid w:val="00417C87"/>
    <w:rsid w:val="00423313"/>
    <w:rsid w:val="004238BB"/>
    <w:rsid w:val="004261D9"/>
    <w:rsid w:val="004272DF"/>
    <w:rsid w:val="004332D3"/>
    <w:rsid w:val="00435BE1"/>
    <w:rsid w:val="00440B3D"/>
    <w:rsid w:val="00440EB6"/>
    <w:rsid w:val="00443FDE"/>
    <w:rsid w:val="00444253"/>
    <w:rsid w:val="00444471"/>
    <w:rsid w:val="00447BAB"/>
    <w:rsid w:val="00454DAD"/>
    <w:rsid w:val="00457D52"/>
    <w:rsid w:val="00465E68"/>
    <w:rsid w:val="004716EF"/>
    <w:rsid w:val="0048446E"/>
    <w:rsid w:val="00493F73"/>
    <w:rsid w:val="004B2CED"/>
    <w:rsid w:val="004B5420"/>
    <w:rsid w:val="004B7AE2"/>
    <w:rsid w:val="004B7F5D"/>
    <w:rsid w:val="004C0E04"/>
    <w:rsid w:val="004C634F"/>
    <w:rsid w:val="004E1872"/>
    <w:rsid w:val="004E2FF1"/>
    <w:rsid w:val="004F147A"/>
    <w:rsid w:val="004F1763"/>
    <w:rsid w:val="004F636F"/>
    <w:rsid w:val="00500D26"/>
    <w:rsid w:val="005063FD"/>
    <w:rsid w:val="0051006E"/>
    <w:rsid w:val="00511F84"/>
    <w:rsid w:val="005128C3"/>
    <w:rsid w:val="0051341C"/>
    <w:rsid w:val="0051455E"/>
    <w:rsid w:val="0051563A"/>
    <w:rsid w:val="00521D79"/>
    <w:rsid w:val="00527710"/>
    <w:rsid w:val="005320BA"/>
    <w:rsid w:val="00532B71"/>
    <w:rsid w:val="00540B46"/>
    <w:rsid w:val="005457ED"/>
    <w:rsid w:val="00550FCD"/>
    <w:rsid w:val="00551716"/>
    <w:rsid w:val="00552737"/>
    <w:rsid w:val="005573B0"/>
    <w:rsid w:val="00557418"/>
    <w:rsid w:val="0056274F"/>
    <w:rsid w:val="00564DA8"/>
    <w:rsid w:val="00566CAC"/>
    <w:rsid w:val="0057091B"/>
    <w:rsid w:val="00570DA6"/>
    <w:rsid w:val="00574340"/>
    <w:rsid w:val="00574656"/>
    <w:rsid w:val="00575A68"/>
    <w:rsid w:val="00587D2A"/>
    <w:rsid w:val="00590C5F"/>
    <w:rsid w:val="00593BEC"/>
    <w:rsid w:val="00594FF2"/>
    <w:rsid w:val="005A25D5"/>
    <w:rsid w:val="005A2A16"/>
    <w:rsid w:val="005B0C7C"/>
    <w:rsid w:val="005B6C39"/>
    <w:rsid w:val="005B76A3"/>
    <w:rsid w:val="005C1AC2"/>
    <w:rsid w:val="005C6F62"/>
    <w:rsid w:val="005D086B"/>
    <w:rsid w:val="005D26C1"/>
    <w:rsid w:val="005E7A6F"/>
    <w:rsid w:val="00605C6B"/>
    <w:rsid w:val="006062D4"/>
    <w:rsid w:val="00610078"/>
    <w:rsid w:val="0061594E"/>
    <w:rsid w:val="00616486"/>
    <w:rsid w:val="006204F4"/>
    <w:rsid w:val="006225A9"/>
    <w:rsid w:val="0062571E"/>
    <w:rsid w:val="006369EF"/>
    <w:rsid w:val="0065000A"/>
    <w:rsid w:val="00651537"/>
    <w:rsid w:val="00651EB5"/>
    <w:rsid w:val="00657095"/>
    <w:rsid w:val="00657B58"/>
    <w:rsid w:val="006658E8"/>
    <w:rsid w:val="0067118E"/>
    <w:rsid w:val="00671498"/>
    <w:rsid w:val="006768C9"/>
    <w:rsid w:val="00676B4E"/>
    <w:rsid w:val="00676EAA"/>
    <w:rsid w:val="00682CC0"/>
    <w:rsid w:val="00685B08"/>
    <w:rsid w:val="0069011A"/>
    <w:rsid w:val="00690377"/>
    <w:rsid w:val="00695000"/>
    <w:rsid w:val="006A061A"/>
    <w:rsid w:val="006A1DC9"/>
    <w:rsid w:val="006A61AA"/>
    <w:rsid w:val="006A6887"/>
    <w:rsid w:val="006B12D3"/>
    <w:rsid w:val="006B19C4"/>
    <w:rsid w:val="006C432C"/>
    <w:rsid w:val="006D12F4"/>
    <w:rsid w:val="006D254A"/>
    <w:rsid w:val="006F2318"/>
    <w:rsid w:val="006F2ACE"/>
    <w:rsid w:val="0070146D"/>
    <w:rsid w:val="00702C16"/>
    <w:rsid w:val="00710FFF"/>
    <w:rsid w:val="00713040"/>
    <w:rsid w:val="007136A0"/>
    <w:rsid w:val="00713CA2"/>
    <w:rsid w:val="00717AB6"/>
    <w:rsid w:val="00721CBE"/>
    <w:rsid w:val="0072322C"/>
    <w:rsid w:val="00723F2A"/>
    <w:rsid w:val="00733C64"/>
    <w:rsid w:val="00734D47"/>
    <w:rsid w:val="00736AE3"/>
    <w:rsid w:val="00736B56"/>
    <w:rsid w:val="007374D7"/>
    <w:rsid w:val="007464BB"/>
    <w:rsid w:val="00747FD2"/>
    <w:rsid w:val="0075028F"/>
    <w:rsid w:val="00752510"/>
    <w:rsid w:val="00760932"/>
    <w:rsid w:val="00770E6B"/>
    <w:rsid w:val="00777507"/>
    <w:rsid w:val="00781308"/>
    <w:rsid w:val="0078414D"/>
    <w:rsid w:val="00797D65"/>
    <w:rsid w:val="007A1DB1"/>
    <w:rsid w:val="007A3A8D"/>
    <w:rsid w:val="007A492D"/>
    <w:rsid w:val="007A54C8"/>
    <w:rsid w:val="007B59FB"/>
    <w:rsid w:val="007B6321"/>
    <w:rsid w:val="007C224E"/>
    <w:rsid w:val="007C3724"/>
    <w:rsid w:val="007D261C"/>
    <w:rsid w:val="007D6B43"/>
    <w:rsid w:val="007E16B6"/>
    <w:rsid w:val="007E18A7"/>
    <w:rsid w:val="007E7107"/>
    <w:rsid w:val="007E7127"/>
    <w:rsid w:val="007E7F01"/>
    <w:rsid w:val="007F598E"/>
    <w:rsid w:val="00800321"/>
    <w:rsid w:val="00814C40"/>
    <w:rsid w:val="0081723C"/>
    <w:rsid w:val="0082007E"/>
    <w:rsid w:val="0082251A"/>
    <w:rsid w:val="008234C7"/>
    <w:rsid w:val="008344F2"/>
    <w:rsid w:val="00837679"/>
    <w:rsid w:val="00843EDC"/>
    <w:rsid w:val="00844DAE"/>
    <w:rsid w:val="00850407"/>
    <w:rsid w:val="0085660F"/>
    <w:rsid w:val="00861625"/>
    <w:rsid w:val="00861B7B"/>
    <w:rsid w:val="00861DB2"/>
    <w:rsid w:val="00864BB3"/>
    <w:rsid w:val="00871613"/>
    <w:rsid w:val="00873C25"/>
    <w:rsid w:val="0087560B"/>
    <w:rsid w:val="00875E69"/>
    <w:rsid w:val="00880F05"/>
    <w:rsid w:val="0088786F"/>
    <w:rsid w:val="00891E8B"/>
    <w:rsid w:val="008A18EF"/>
    <w:rsid w:val="008A3827"/>
    <w:rsid w:val="008A47D0"/>
    <w:rsid w:val="008B14E5"/>
    <w:rsid w:val="008C7ACA"/>
    <w:rsid w:val="008D6815"/>
    <w:rsid w:val="00906FA3"/>
    <w:rsid w:val="00907F9D"/>
    <w:rsid w:val="0091008C"/>
    <w:rsid w:val="0092079D"/>
    <w:rsid w:val="00921E80"/>
    <w:rsid w:val="009308C8"/>
    <w:rsid w:val="00935413"/>
    <w:rsid w:val="00940607"/>
    <w:rsid w:val="00940A51"/>
    <w:rsid w:val="009560F8"/>
    <w:rsid w:val="00957443"/>
    <w:rsid w:val="00981FB0"/>
    <w:rsid w:val="00986668"/>
    <w:rsid w:val="00986B00"/>
    <w:rsid w:val="00986ED1"/>
    <w:rsid w:val="009A2340"/>
    <w:rsid w:val="009B0469"/>
    <w:rsid w:val="009B348D"/>
    <w:rsid w:val="009B3F3D"/>
    <w:rsid w:val="009C362C"/>
    <w:rsid w:val="009C7E3E"/>
    <w:rsid w:val="009D172F"/>
    <w:rsid w:val="009D7267"/>
    <w:rsid w:val="009E0C1D"/>
    <w:rsid w:val="009E440E"/>
    <w:rsid w:val="009E74D6"/>
    <w:rsid w:val="009F1194"/>
    <w:rsid w:val="009F6156"/>
    <w:rsid w:val="00A01FC2"/>
    <w:rsid w:val="00A0346B"/>
    <w:rsid w:val="00A064C1"/>
    <w:rsid w:val="00A11B2C"/>
    <w:rsid w:val="00A13834"/>
    <w:rsid w:val="00A20347"/>
    <w:rsid w:val="00A22608"/>
    <w:rsid w:val="00A242D4"/>
    <w:rsid w:val="00A265CD"/>
    <w:rsid w:val="00A3187E"/>
    <w:rsid w:val="00A31B98"/>
    <w:rsid w:val="00A32D37"/>
    <w:rsid w:val="00A375A6"/>
    <w:rsid w:val="00A405D2"/>
    <w:rsid w:val="00A4142C"/>
    <w:rsid w:val="00A42F41"/>
    <w:rsid w:val="00A44D7D"/>
    <w:rsid w:val="00A45D10"/>
    <w:rsid w:val="00A538BE"/>
    <w:rsid w:val="00A54F65"/>
    <w:rsid w:val="00A67399"/>
    <w:rsid w:val="00A91BC6"/>
    <w:rsid w:val="00A92818"/>
    <w:rsid w:val="00A9295B"/>
    <w:rsid w:val="00A93182"/>
    <w:rsid w:val="00A97C59"/>
    <w:rsid w:val="00AA162F"/>
    <w:rsid w:val="00AA2393"/>
    <w:rsid w:val="00AA2947"/>
    <w:rsid w:val="00AC2818"/>
    <w:rsid w:val="00AD2036"/>
    <w:rsid w:val="00AD43BB"/>
    <w:rsid w:val="00AD5C4E"/>
    <w:rsid w:val="00AD6AF3"/>
    <w:rsid w:val="00AE0D88"/>
    <w:rsid w:val="00AE1490"/>
    <w:rsid w:val="00AE22BC"/>
    <w:rsid w:val="00AE2F5C"/>
    <w:rsid w:val="00AE6677"/>
    <w:rsid w:val="00AF2419"/>
    <w:rsid w:val="00AF350A"/>
    <w:rsid w:val="00AF526A"/>
    <w:rsid w:val="00AF639E"/>
    <w:rsid w:val="00B017A9"/>
    <w:rsid w:val="00B024DD"/>
    <w:rsid w:val="00B02F16"/>
    <w:rsid w:val="00B06397"/>
    <w:rsid w:val="00B10293"/>
    <w:rsid w:val="00B2071E"/>
    <w:rsid w:val="00B2344C"/>
    <w:rsid w:val="00B27AEF"/>
    <w:rsid w:val="00B358D7"/>
    <w:rsid w:val="00B511A5"/>
    <w:rsid w:val="00B56EC9"/>
    <w:rsid w:val="00B61033"/>
    <w:rsid w:val="00B63EFD"/>
    <w:rsid w:val="00B72775"/>
    <w:rsid w:val="00B74F12"/>
    <w:rsid w:val="00B7521E"/>
    <w:rsid w:val="00B85838"/>
    <w:rsid w:val="00BA63F0"/>
    <w:rsid w:val="00BB0DD7"/>
    <w:rsid w:val="00BB1938"/>
    <w:rsid w:val="00BB2CE2"/>
    <w:rsid w:val="00BB4411"/>
    <w:rsid w:val="00BB4668"/>
    <w:rsid w:val="00BB6DD0"/>
    <w:rsid w:val="00BC1DF2"/>
    <w:rsid w:val="00BC3138"/>
    <w:rsid w:val="00BC5BA3"/>
    <w:rsid w:val="00BC629A"/>
    <w:rsid w:val="00BE2904"/>
    <w:rsid w:val="00BE3AAF"/>
    <w:rsid w:val="00BE50FC"/>
    <w:rsid w:val="00BE53AB"/>
    <w:rsid w:val="00BF0604"/>
    <w:rsid w:val="00BF509E"/>
    <w:rsid w:val="00BF7E33"/>
    <w:rsid w:val="00C053AC"/>
    <w:rsid w:val="00C21E82"/>
    <w:rsid w:val="00C22B4C"/>
    <w:rsid w:val="00C22DCA"/>
    <w:rsid w:val="00C26C32"/>
    <w:rsid w:val="00C305E1"/>
    <w:rsid w:val="00C372E3"/>
    <w:rsid w:val="00C42D72"/>
    <w:rsid w:val="00C635AF"/>
    <w:rsid w:val="00C67426"/>
    <w:rsid w:val="00C72FC1"/>
    <w:rsid w:val="00C76137"/>
    <w:rsid w:val="00C85625"/>
    <w:rsid w:val="00C93A53"/>
    <w:rsid w:val="00C94BB6"/>
    <w:rsid w:val="00CA165A"/>
    <w:rsid w:val="00CA5653"/>
    <w:rsid w:val="00CA762B"/>
    <w:rsid w:val="00CB3794"/>
    <w:rsid w:val="00CB73F8"/>
    <w:rsid w:val="00CB77C2"/>
    <w:rsid w:val="00CC013A"/>
    <w:rsid w:val="00CC5B44"/>
    <w:rsid w:val="00CC60C1"/>
    <w:rsid w:val="00CE142B"/>
    <w:rsid w:val="00CF5983"/>
    <w:rsid w:val="00D005C1"/>
    <w:rsid w:val="00D00646"/>
    <w:rsid w:val="00D0181A"/>
    <w:rsid w:val="00D07140"/>
    <w:rsid w:val="00D10DDB"/>
    <w:rsid w:val="00D10FC9"/>
    <w:rsid w:val="00D12918"/>
    <w:rsid w:val="00D23DE3"/>
    <w:rsid w:val="00D302A8"/>
    <w:rsid w:val="00D33907"/>
    <w:rsid w:val="00D37429"/>
    <w:rsid w:val="00D37715"/>
    <w:rsid w:val="00D41996"/>
    <w:rsid w:val="00D45A3A"/>
    <w:rsid w:val="00D50F47"/>
    <w:rsid w:val="00D53BE9"/>
    <w:rsid w:val="00D54280"/>
    <w:rsid w:val="00D606C4"/>
    <w:rsid w:val="00D67897"/>
    <w:rsid w:val="00D70740"/>
    <w:rsid w:val="00D738F7"/>
    <w:rsid w:val="00D8626F"/>
    <w:rsid w:val="00D8646C"/>
    <w:rsid w:val="00D96340"/>
    <w:rsid w:val="00D96540"/>
    <w:rsid w:val="00DB1BC9"/>
    <w:rsid w:val="00DB2F7F"/>
    <w:rsid w:val="00DC6E3F"/>
    <w:rsid w:val="00DC7D37"/>
    <w:rsid w:val="00DD3946"/>
    <w:rsid w:val="00DD41FC"/>
    <w:rsid w:val="00DD6E25"/>
    <w:rsid w:val="00DE6818"/>
    <w:rsid w:val="00DE7BF8"/>
    <w:rsid w:val="00E007EE"/>
    <w:rsid w:val="00E0576E"/>
    <w:rsid w:val="00E075A2"/>
    <w:rsid w:val="00E2341E"/>
    <w:rsid w:val="00E23A2D"/>
    <w:rsid w:val="00E25E03"/>
    <w:rsid w:val="00E32DF4"/>
    <w:rsid w:val="00E374B8"/>
    <w:rsid w:val="00E4025B"/>
    <w:rsid w:val="00E46196"/>
    <w:rsid w:val="00E70B3B"/>
    <w:rsid w:val="00E737BD"/>
    <w:rsid w:val="00E81C95"/>
    <w:rsid w:val="00E844D5"/>
    <w:rsid w:val="00E86712"/>
    <w:rsid w:val="00E87FAD"/>
    <w:rsid w:val="00E90B9E"/>
    <w:rsid w:val="00E91ADC"/>
    <w:rsid w:val="00E93ACC"/>
    <w:rsid w:val="00E9720D"/>
    <w:rsid w:val="00EC1A77"/>
    <w:rsid w:val="00EE4118"/>
    <w:rsid w:val="00EF4344"/>
    <w:rsid w:val="00EF4D08"/>
    <w:rsid w:val="00EF5113"/>
    <w:rsid w:val="00F154A5"/>
    <w:rsid w:val="00F23348"/>
    <w:rsid w:val="00F23FDA"/>
    <w:rsid w:val="00F245B9"/>
    <w:rsid w:val="00F256C5"/>
    <w:rsid w:val="00F26099"/>
    <w:rsid w:val="00F30137"/>
    <w:rsid w:val="00F31F60"/>
    <w:rsid w:val="00F332E5"/>
    <w:rsid w:val="00F36DD0"/>
    <w:rsid w:val="00F40031"/>
    <w:rsid w:val="00F40D36"/>
    <w:rsid w:val="00F429B7"/>
    <w:rsid w:val="00F438A2"/>
    <w:rsid w:val="00F56C6A"/>
    <w:rsid w:val="00F65372"/>
    <w:rsid w:val="00F779CB"/>
    <w:rsid w:val="00F83282"/>
    <w:rsid w:val="00F954A5"/>
    <w:rsid w:val="00F95F40"/>
    <w:rsid w:val="00FA1B38"/>
    <w:rsid w:val="00FA35A9"/>
    <w:rsid w:val="00FA4225"/>
    <w:rsid w:val="00FA518C"/>
    <w:rsid w:val="00FA6F52"/>
    <w:rsid w:val="00FB068A"/>
    <w:rsid w:val="00FB0EEC"/>
    <w:rsid w:val="00FB264E"/>
    <w:rsid w:val="00FC5CD7"/>
    <w:rsid w:val="00FC66E7"/>
    <w:rsid w:val="00FC6DF4"/>
    <w:rsid w:val="00FE3D84"/>
    <w:rsid w:val="00FE69AB"/>
    <w:rsid w:val="00FF5E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C9"/>
    <w:rPr>
      <w:sz w:val="22"/>
      <w:szCs w:val="22"/>
      <w:lang w:val="es-MX" w:eastAsia="en-US"/>
    </w:rPr>
  </w:style>
  <w:style w:type="paragraph" w:styleId="Ttulo1">
    <w:name w:val="heading 1"/>
    <w:next w:val="Normal"/>
    <w:link w:val="Ttulo1Car"/>
    <w:qFormat/>
    <w:rsid w:val="002D489E"/>
    <w:pPr>
      <w:keepNext/>
      <w:keepLines/>
      <w:widowControl w:val="0"/>
      <w:numPr>
        <w:numId w:val="8"/>
      </w:numPr>
      <w:pBdr>
        <w:bottom w:val="single" w:sz="4" w:space="1" w:color="auto"/>
      </w:pBdr>
      <w:spacing w:before="240"/>
      <w:ind w:left="357" w:hanging="357"/>
      <w:outlineLvl w:val="0"/>
    </w:pPr>
    <w:rPr>
      <w:rFonts w:eastAsia="Times New Roman"/>
      <w:b/>
      <w:bCs/>
      <w:sz w:val="28"/>
      <w:szCs w:val="28"/>
      <w:lang w:val="es-MX" w:eastAsia="en-US"/>
    </w:rPr>
  </w:style>
  <w:style w:type="paragraph" w:styleId="Ttulo2">
    <w:name w:val="heading 2"/>
    <w:basedOn w:val="Normal"/>
    <w:next w:val="Normal"/>
    <w:link w:val="Ttulo2Car"/>
    <w:qFormat/>
    <w:rsid w:val="00A375A6"/>
    <w:pPr>
      <w:keepNext/>
      <w:keepLines/>
      <w:widowControl w:val="0"/>
      <w:spacing w:before="240"/>
      <w:outlineLvl w:val="1"/>
    </w:pPr>
    <w:rPr>
      <w:b/>
      <w:sz w:val="26"/>
      <w:szCs w:val="24"/>
    </w:rPr>
  </w:style>
  <w:style w:type="paragraph" w:styleId="Ttulo3">
    <w:name w:val="heading 3"/>
    <w:basedOn w:val="Normal"/>
    <w:next w:val="Normal"/>
    <w:link w:val="Ttulo3Car"/>
    <w:qFormat/>
    <w:rsid w:val="00187821"/>
    <w:pPr>
      <w:keepNext/>
      <w:keepLines/>
      <w:widowControl w:val="0"/>
      <w:spacing w:before="240"/>
      <w:outlineLvl w:val="2"/>
    </w:pPr>
    <w:rPr>
      <w:b/>
      <w:i/>
      <w:sz w:val="24"/>
      <w:szCs w:val="24"/>
    </w:rPr>
  </w:style>
  <w:style w:type="paragraph" w:styleId="Ttulo4">
    <w:name w:val="heading 4"/>
    <w:basedOn w:val="Normal"/>
    <w:next w:val="Normal"/>
    <w:link w:val="Ttulo4Car"/>
    <w:qFormat/>
    <w:rsid w:val="00B72775"/>
    <w:pPr>
      <w:keepNext/>
      <w:spacing w:before="120"/>
      <w:outlineLvl w:val="3"/>
    </w:pPr>
    <w:rPr>
      <w:rFonts w:asciiTheme="minorHAnsi" w:hAnsiTheme="minorHAnsi"/>
      <w:i/>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489E"/>
    <w:rPr>
      <w:rFonts w:eastAsia="Times New Roman"/>
      <w:b/>
      <w:bCs/>
      <w:sz w:val="28"/>
      <w:szCs w:val="28"/>
      <w:lang w:val="es-MX" w:eastAsia="en-US"/>
    </w:rPr>
  </w:style>
  <w:style w:type="character" w:customStyle="1" w:styleId="Ttulo2Car">
    <w:name w:val="Título 2 Car"/>
    <w:basedOn w:val="Fuentedeprrafopredeter"/>
    <w:link w:val="Ttulo2"/>
    <w:rsid w:val="00A375A6"/>
    <w:rPr>
      <w:b/>
      <w:sz w:val="26"/>
      <w:szCs w:val="24"/>
      <w:lang w:val="es-MX" w:eastAsia="en-US"/>
    </w:rPr>
  </w:style>
  <w:style w:type="character" w:customStyle="1" w:styleId="Ttulo3Car">
    <w:name w:val="Título 3 Car"/>
    <w:basedOn w:val="Fuentedeprrafopredeter"/>
    <w:link w:val="Ttulo3"/>
    <w:rsid w:val="00187821"/>
    <w:rPr>
      <w:b/>
      <w:i/>
      <w:sz w:val="24"/>
      <w:szCs w:val="24"/>
      <w:lang w:val="es-MX" w:eastAsia="en-US"/>
    </w:rPr>
  </w:style>
  <w:style w:type="character" w:customStyle="1" w:styleId="Ttulo4Car">
    <w:name w:val="Título 4 Car"/>
    <w:basedOn w:val="Fuentedeprrafopredeter"/>
    <w:link w:val="Ttulo4"/>
    <w:rsid w:val="00B72775"/>
    <w:rPr>
      <w:rFonts w:asciiTheme="minorHAnsi" w:hAnsiTheme="minorHAnsi"/>
      <w:i/>
      <w:sz w:val="23"/>
      <w:szCs w:val="22"/>
      <w:lang w:val="es-MX" w:eastAsia="en-US"/>
    </w:rPr>
  </w:style>
  <w:style w:type="paragraph" w:styleId="Sinespaciado">
    <w:name w:val="No Spacing"/>
    <w:link w:val="SinespaciadoCar"/>
    <w:uiPriority w:val="1"/>
    <w:qFormat/>
    <w:rsid w:val="00BF7E33"/>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BF7E33"/>
    <w:pPr>
      <w:spacing w:after="200" w:line="276" w:lineRule="auto"/>
      <w:ind w:left="720"/>
      <w:contextualSpacing/>
    </w:pPr>
    <w:rPr>
      <w:rFonts w:asciiTheme="minorHAnsi" w:eastAsia="Times New Roman" w:hAnsiTheme="minorHAnsi" w:cstheme="minorBidi"/>
    </w:rPr>
  </w:style>
  <w:style w:type="paragraph" w:customStyle="1" w:styleId="Prrafodelista1">
    <w:name w:val="Párrafo de lista1"/>
    <w:basedOn w:val="Normal"/>
    <w:qFormat/>
    <w:rsid w:val="00BF7E33"/>
    <w:pPr>
      <w:ind w:left="720"/>
      <w:contextualSpacing/>
    </w:pPr>
  </w:style>
  <w:style w:type="paragraph" w:customStyle="1" w:styleId="TtulodeTDC1">
    <w:name w:val="Título de TDC1"/>
    <w:basedOn w:val="Ttulo1"/>
    <w:next w:val="Normal"/>
    <w:semiHidden/>
    <w:unhideWhenUsed/>
    <w:qFormat/>
    <w:rsid w:val="00BF7E33"/>
    <w:pPr>
      <w:widowControl/>
      <w:spacing w:before="480" w:after="0" w:line="276" w:lineRule="auto"/>
      <w:outlineLvl w:val="9"/>
    </w:pPr>
    <w:rPr>
      <w:rFonts w:ascii="Cambria" w:hAnsi="Cambria"/>
      <w:color w:val="365F91"/>
      <w:lang w:val="es-ES"/>
    </w:rPr>
  </w:style>
  <w:style w:type="paragraph" w:customStyle="1" w:styleId="NotaPie">
    <w:name w:val="Nota Pie"/>
    <w:basedOn w:val="Normal"/>
    <w:qFormat/>
    <w:rsid w:val="000B1F3D"/>
    <w:pPr>
      <w:spacing w:after="80"/>
    </w:pPr>
    <w:rPr>
      <w:sz w:val="19"/>
      <w:szCs w:val="18"/>
    </w:rPr>
  </w:style>
  <w:style w:type="table" w:styleId="Tablaconcuadrcula">
    <w:name w:val="Table Grid"/>
    <w:basedOn w:val="Tablanormal"/>
    <w:uiPriority w:val="59"/>
    <w:rsid w:val="006C43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E16B6"/>
    <w:pPr>
      <w:tabs>
        <w:tab w:val="center" w:pos="4252"/>
        <w:tab w:val="right" w:pos="8504"/>
      </w:tabs>
      <w:spacing w:after="0"/>
    </w:pPr>
  </w:style>
  <w:style w:type="character" w:customStyle="1" w:styleId="EncabezadoCar">
    <w:name w:val="Encabezado Car"/>
    <w:basedOn w:val="Fuentedeprrafopredeter"/>
    <w:link w:val="Encabezado"/>
    <w:uiPriority w:val="99"/>
    <w:semiHidden/>
    <w:rsid w:val="007E16B6"/>
    <w:rPr>
      <w:sz w:val="22"/>
      <w:szCs w:val="22"/>
      <w:lang w:val="es-MX" w:eastAsia="en-US"/>
    </w:rPr>
  </w:style>
  <w:style w:type="paragraph" w:styleId="Piedepgina">
    <w:name w:val="footer"/>
    <w:basedOn w:val="Textonotapie"/>
    <w:link w:val="PiedepginaCar"/>
    <w:uiPriority w:val="99"/>
    <w:unhideWhenUsed/>
    <w:rsid w:val="003D3DE6"/>
    <w:pPr>
      <w:spacing w:after="120"/>
    </w:pPr>
    <w:rPr>
      <w:sz w:val="19"/>
    </w:rPr>
  </w:style>
  <w:style w:type="character" w:customStyle="1" w:styleId="PiedepginaCar">
    <w:name w:val="Pie de página Car"/>
    <w:basedOn w:val="Fuentedeprrafopredeter"/>
    <w:link w:val="Piedepgina"/>
    <w:uiPriority w:val="99"/>
    <w:rsid w:val="003D3DE6"/>
    <w:rPr>
      <w:sz w:val="19"/>
      <w:lang w:val="es-MX" w:eastAsia="en-US"/>
    </w:rPr>
  </w:style>
  <w:style w:type="paragraph" w:styleId="Textodeglobo">
    <w:name w:val="Balloon Text"/>
    <w:basedOn w:val="Normal"/>
    <w:link w:val="TextodegloboCar"/>
    <w:uiPriority w:val="99"/>
    <w:semiHidden/>
    <w:unhideWhenUsed/>
    <w:rsid w:val="005128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8C3"/>
    <w:rPr>
      <w:rFonts w:ascii="Tahoma" w:hAnsi="Tahoma" w:cs="Tahoma"/>
      <w:sz w:val="16"/>
      <w:szCs w:val="16"/>
      <w:lang w:val="es-MX" w:eastAsia="en-US"/>
    </w:rPr>
  </w:style>
  <w:style w:type="paragraph" w:styleId="Textonotapie">
    <w:name w:val="footnote text"/>
    <w:basedOn w:val="Normal"/>
    <w:link w:val="TextonotapieCar"/>
    <w:uiPriority w:val="99"/>
    <w:semiHidden/>
    <w:unhideWhenUsed/>
    <w:rsid w:val="00002D4F"/>
    <w:pPr>
      <w:spacing w:after="0"/>
    </w:pPr>
    <w:rPr>
      <w:sz w:val="20"/>
      <w:szCs w:val="20"/>
    </w:rPr>
  </w:style>
  <w:style w:type="character" w:customStyle="1" w:styleId="TextonotapieCar">
    <w:name w:val="Texto nota pie Car"/>
    <w:basedOn w:val="Fuentedeprrafopredeter"/>
    <w:link w:val="Textonotapie"/>
    <w:uiPriority w:val="99"/>
    <w:semiHidden/>
    <w:rsid w:val="00002D4F"/>
    <w:rPr>
      <w:lang w:val="es-MX" w:eastAsia="en-US"/>
    </w:rPr>
  </w:style>
  <w:style w:type="character" w:styleId="Refdenotaalpie">
    <w:name w:val="footnote reference"/>
    <w:basedOn w:val="Fuentedeprrafopredeter"/>
    <w:uiPriority w:val="99"/>
    <w:semiHidden/>
    <w:unhideWhenUsed/>
    <w:rsid w:val="00002D4F"/>
    <w:rPr>
      <w:vertAlign w:val="superscript"/>
    </w:rPr>
  </w:style>
  <w:style w:type="character" w:styleId="Hipervnculo">
    <w:name w:val="Hyperlink"/>
    <w:basedOn w:val="Fuentedeprrafopredeter"/>
    <w:uiPriority w:val="99"/>
    <w:unhideWhenUsed/>
    <w:rsid w:val="00002D4F"/>
    <w:rPr>
      <w:color w:val="0000FF" w:themeColor="hyperlink"/>
      <w:u w:val="single"/>
    </w:rPr>
  </w:style>
  <w:style w:type="paragraph" w:styleId="Ttulo">
    <w:name w:val="Title"/>
    <w:basedOn w:val="Normal"/>
    <w:next w:val="Normal"/>
    <w:link w:val="TtuloCar"/>
    <w:uiPriority w:val="10"/>
    <w:qFormat/>
    <w:rsid w:val="00D864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8646C"/>
    <w:rPr>
      <w:rFonts w:asciiTheme="majorHAnsi" w:eastAsiaTheme="majorEastAsia" w:hAnsiTheme="majorHAnsi" w:cstheme="majorBidi"/>
      <w:color w:val="17365D" w:themeColor="text2" w:themeShade="BF"/>
      <w:spacing w:val="5"/>
      <w:kern w:val="28"/>
      <w:sz w:val="52"/>
      <w:szCs w:val="52"/>
      <w:lang w:val="es-MX" w:eastAsia="en-US"/>
    </w:rPr>
  </w:style>
  <w:style w:type="paragraph" w:styleId="TtulodeTDC">
    <w:name w:val="TOC Heading"/>
    <w:basedOn w:val="Ttulo1"/>
    <w:next w:val="Normal"/>
    <w:uiPriority w:val="39"/>
    <w:semiHidden/>
    <w:unhideWhenUsed/>
    <w:qFormat/>
    <w:rsid w:val="00CB73F8"/>
    <w:pPr>
      <w:widowControl/>
      <w:spacing w:before="480" w:after="0" w:line="276" w:lineRule="auto"/>
      <w:outlineLvl w:val="9"/>
    </w:pPr>
    <w:rPr>
      <w:rFonts w:asciiTheme="majorHAnsi" w:eastAsiaTheme="majorEastAsia" w:hAnsiTheme="majorHAnsi" w:cstheme="majorBidi"/>
      <w:color w:val="365F91" w:themeColor="accent1" w:themeShade="BF"/>
      <w:lang w:val="es-ES"/>
    </w:rPr>
  </w:style>
  <w:style w:type="paragraph" w:styleId="TDC1">
    <w:name w:val="toc 1"/>
    <w:basedOn w:val="Normal"/>
    <w:next w:val="Normal"/>
    <w:autoRedefine/>
    <w:uiPriority w:val="39"/>
    <w:unhideWhenUsed/>
    <w:rsid w:val="00D005C1"/>
    <w:pPr>
      <w:tabs>
        <w:tab w:val="right" w:pos="8505"/>
      </w:tabs>
      <w:ind w:left="397" w:hanging="397"/>
    </w:pPr>
  </w:style>
  <w:style w:type="paragraph" w:styleId="TDC2">
    <w:name w:val="toc 2"/>
    <w:basedOn w:val="Normal"/>
    <w:next w:val="Normal"/>
    <w:autoRedefine/>
    <w:uiPriority w:val="39"/>
    <w:unhideWhenUsed/>
    <w:rsid w:val="00D005C1"/>
    <w:pPr>
      <w:tabs>
        <w:tab w:val="right" w:pos="8505"/>
      </w:tabs>
      <w:ind w:left="510"/>
    </w:pPr>
  </w:style>
  <w:style w:type="paragraph" w:styleId="TDC3">
    <w:name w:val="toc 3"/>
    <w:basedOn w:val="Normal"/>
    <w:next w:val="Normal"/>
    <w:autoRedefine/>
    <w:uiPriority w:val="39"/>
    <w:unhideWhenUsed/>
    <w:rsid w:val="00CB73F8"/>
    <w:pPr>
      <w:spacing w:after="100"/>
      <w:ind w:left="440"/>
    </w:pPr>
  </w:style>
  <w:style w:type="character" w:customStyle="1" w:styleId="SinespaciadoCar">
    <w:name w:val="Sin espaciado Car"/>
    <w:basedOn w:val="Fuentedeprrafopredeter"/>
    <w:link w:val="Sinespaciado"/>
    <w:uiPriority w:val="1"/>
    <w:rsid w:val="00D41996"/>
    <w:rPr>
      <w:rFonts w:asciiTheme="minorHAnsi" w:eastAsiaTheme="minorHAnsi" w:hAnsiTheme="minorHAnsi" w:cstheme="minorBidi"/>
      <w:sz w:val="22"/>
      <w:szCs w:val="22"/>
      <w:lang w:val="es-MX" w:eastAsia="en-US"/>
    </w:rPr>
  </w:style>
  <w:style w:type="paragraph" w:customStyle="1" w:styleId="Ttulo1anexo">
    <w:name w:val="Título 1 anexo"/>
    <w:basedOn w:val="Ttulo1"/>
    <w:link w:val="Ttulo1anexoCar"/>
    <w:qFormat/>
    <w:rsid w:val="009C362C"/>
    <w:pPr>
      <w:pageBreakBefore/>
      <w:numPr>
        <w:numId w:val="0"/>
      </w:numPr>
    </w:pPr>
  </w:style>
  <w:style w:type="character" w:customStyle="1" w:styleId="Ttulo1anexoCar">
    <w:name w:val="Título 1 anexo Car"/>
    <w:basedOn w:val="Ttulo1Car"/>
    <w:link w:val="Ttulo1anexo"/>
    <w:rsid w:val="009C362C"/>
  </w:style>
  <w:style w:type="character" w:styleId="Hipervnculovisitado">
    <w:name w:val="FollowedHyperlink"/>
    <w:basedOn w:val="Fuentedeprrafopredeter"/>
    <w:uiPriority w:val="99"/>
    <w:semiHidden/>
    <w:unhideWhenUsed/>
    <w:rsid w:val="00AE14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millenniumassessment.org/documents/document.3.aspx.pdf" TargetMode="External"/><Relationship Id="rId1" Type="http://schemas.openxmlformats.org/officeDocument/2006/relationships/hyperlink" Target="https://sites.google.com/site/cbmenla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6B8E-776C-46E4-A461-469F3766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14</Pages>
  <Words>3290</Words>
  <Characters>18095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208</cp:revision>
  <cp:lastPrinted>2012-09-15T23:28:00Z</cp:lastPrinted>
  <dcterms:created xsi:type="dcterms:W3CDTF">2012-09-13T18:09:00Z</dcterms:created>
  <dcterms:modified xsi:type="dcterms:W3CDTF">2012-09-15T23:29:00Z</dcterms:modified>
</cp:coreProperties>
</file>